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3BC" w:rsidRDefault="005F03BC" w:rsidP="004F6790">
      <w:pPr>
        <w:spacing w:after="0" w:line="240" w:lineRule="auto"/>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1" locked="0" layoutInCell="1" allowOverlap="1">
            <wp:simplePos x="0" y="0"/>
            <wp:positionH relativeFrom="column">
              <wp:posOffset>68580</wp:posOffset>
            </wp:positionH>
            <wp:positionV relativeFrom="paragraph">
              <wp:posOffset>68580</wp:posOffset>
            </wp:positionV>
            <wp:extent cx="1759585" cy="1083945"/>
            <wp:effectExtent l="19050" t="0" r="0" b="0"/>
            <wp:wrapTight wrapText="bothSides">
              <wp:wrapPolygon edited="0">
                <wp:start x="-234" y="0"/>
                <wp:lineTo x="-234" y="21258"/>
                <wp:lineTo x="21514" y="21258"/>
                <wp:lineTo x="21514" y="0"/>
                <wp:lineTo x="-234" y="0"/>
              </wp:wrapPolygon>
            </wp:wrapTight>
            <wp:docPr id="1" name="Picture 0" descr="B1-BOG-wordmark-stacked-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BOG-wordmark-stacked-color.jpg"/>
                    <pic:cNvPicPr/>
                  </pic:nvPicPr>
                  <pic:blipFill>
                    <a:blip r:embed="rId7" cstate="print"/>
                    <a:stretch>
                      <a:fillRect/>
                    </a:stretch>
                  </pic:blipFill>
                  <pic:spPr>
                    <a:xfrm>
                      <a:off x="0" y="0"/>
                      <a:ext cx="1759585" cy="1083945"/>
                    </a:xfrm>
                    <a:prstGeom prst="rect">
                      <a:avLst/>
                    </a:prstGeom>
                  </pic:spPr>
                </pic:pic>
              </a:graphicData>
            </a:graphic>
          </wp:anchor>
        </w:drawing>
      </w:r>
    </w:p>
    <w:p w:rsidR="004F6790" w:rsidRDefault="00BB371F" w:rsidP="004F6790">
      <w:pPr>
        <w:spacing w:after="0" w:line="240" w:lineRule="auto"/>
        <w:jc w:val="center"/>
        <w:rPr>
          <w:rFonts w:ascii="Arial" w:hAnsi="Arial" w:cs="Arial"/>
          <w:b/>
          <w:sz w:val="24"/>
          <w:szCs w:val="24"/>
        </w:rPr>
      </w:pPr>
      <w:r>
        <w:rPr>
          <w:rFonts w:ascii="Arial" w:hAnsi="Arial" w:cs="Arial"/>
          <w:b/>
          <w:sz w:val="24"/>
          <w:szCs w:val="24"/>
        </w:rPr>
        <w:t xml:space="preserve">Commission on Higher Education </w:t>
      </w:r>
      <w:r w:rsidR="001A4B4E" w:rsidRPr="00FB6513">
        <w:rPr>
          <w:rFonts w:ascii="Arial" w:hAnsi="Arial" w:cs="Arial"/>
          <w:b/>
          <w:sz w:val="24"/>
          <w:szCs w:val="24"/>
        </w:rPr>
        <w:t xml:space="preserve">Access and Educational Attainment </w:t>
      </w:r>
    </w:p>
    <w:p w:rsidR="00BB371F" w:rsidRDefault="00BB371F" w:rsidP="004F6790">
      <w:pPr>
        <w:spacing w:after="0" w:line="240" w:lineRule="auto"/>
        <w:jc w:val="center"/>
        <w:rPr>
          <w:rFonts w:ascii="Arial" w:hAnsi="Arial" w:cs="Arial"/>
        </w:rPr>
      </w:pPr>
    </w:p>
    <w:p w:rsidR="001A4B4E" w:rsidRPr="004F6790" w:rsidRDefault="002A6220" w:rsidP="004F6790">
      <w:pPr>
        <w:spacing w:after="0" w:line="240" w:lineRule="auto"/>
        <w:jc w:val="center"/>
        <w:rPr>
          <w:rFonts w:ascii="Arial" w:hAnsi="Arial" w:cs="Arial"/>
        </w:rPr>
      </w:pPr>
      <w:r>
        <w:rPr>
          <w:rFonts w:ascii="Arial" w:hAnsi="Arial" w:cs="Arial"/>
        </w:rPr>
        <w:t>June 15</w:t>
      </w:r>
      <w:r w:rsidR="001A4B4E" w:rsidRPr="004F6790">
        <w:rPr>
          <w:rFonts w:ascii="Arial" w:hAnsi="Arial" w:cs="Arial"/>
        </w:rPr>
        <w:t>, 2012</w:t>
      </w:r>
    </w:p>
    <w:p w:rsidR="00BC5784" w:rsidRDefault="00BC5784" w:rsidP="004F6790">
      <w:pPr>
        <w:spacing w:after="0"/>
        <w:rPr>
          <w:rFonts w:ascii="Arial" w:hAnsi="Arial" w:cs="Arial"/>
          <w:u w:val="single"/>
        </w:rPr>
      </w:pPr>
    </w:p>
    <w:p w:rsidR="005F03BC" w:rsidRDefault="005F03BC" w:rsidP="004F6790">
      <w:pPr>
        <w:spacing w:after="0"/>
        <w:rPr>
          <w:rFonts w:ascii="Arial" w:hAnsi="Arial" w:cs="Arial"/>
          <w:u w:val="single"/>
        </w:rPr>
      </w:pPr>
    </w:p>
    <w:p w:rsidR="00CC4879" w:rsidRPr="002A6220" w:rsidRDefault="00CC4879" w:rsidP="00CC4879">
      <w:pPr>
        <w:autoSpaceDE w:val="0"/>
        <w:autoSpaceDN w:val="0"/>
        <w:adjustRightInd w:val="0"/>
        <w:spacing w:after="0" w:line="240" w:lineRule="auto"/>
        <w:rPr>
          <w:rFonts w:ascii="Arial" w:hAnsi="Arial" w:cs="Arial"/>
          <w:sz w:val="24"/>
          <w:szCs w:val="24"/>
        </w:rPr>
      </w:pPr>
      <w:r w:rsidRPr="002A6220">
        <w:rPr>
          <w:rFonts w:ascii="Arial" w:hAnsi="Arial" w:cs="Arial"/>
          <w:sz w:val="24"/>
          <w:szCs w:val="24"/>
        </w:rPr>
        <w:t>Over the past two years, the Board of Governors has develop</w:t>
      </w:r>
      <w:r w:rsidR="0043770E" w:rsidRPr="002A6220">
        <w:rPr>
          <w:rFonts w:ascii="Arial" w:hAnsi="Arial" w:cs="Arial"/>
          <w:sz w:val="24"/>
          <w:szCs w:val="24"/>
        </w:rPr>
        <w:t xml:space="preserve">ed a </w:t>
      </w:r>
      <w:r w:rsidRPr="002A6220">
        <w:rPr>
          <w:rFonts w:ascii="Arial" w:hAnsi="Arial" w:cs="Arial"/>
          <w:sz w:val="24"/>
          <w:szCs w:val="24"/>
        </w:rPr>
        <w:t xml:space="preserve">new 2025 Strategic Plan, has completely rewritten its Annual Accountability Report, and has created the Work Plan template for our universities to </w:t>
      </w:r>
      <w:r w:rsidR="00D979AE" w:rsidRPr="002A6220">
        <w:rPr>
          <w:rFonts w:ascii="Arial" w:hAnsi="Arial" w:cs="Arial"/>
          <w:sz w:val="24"/>
          <w:szCs w:val="24"/>
        </w:rPr>
        <w:t xml:space="preserve">help align their future plans with the state’s Strategic Plan.  The Board has also </w:t>
      </w:r>
      <w:r w:rsidRPr="002A6220">
        <w:rPr>
          <w:rFonts w:ascii="Arial" w:hAnsi="Arial" w:cs="Arial"/>
          <w:sz w:val="24"/>
          <w:szCs w:val="24"/>
        </w:rPr>
        <w:t>recently created a task force to address the funding challenges for new facilities and will soon launch a second task force to explore the possibility of an online university. Recently, the Governor announced a Blue</w:t>
      </w:r>
      <w:r w:rsidR="00D979AE" w:rsidRPr="002A6220">
        <w:rPr>
          <w:rFonts w:ascii="Arial" w:hAnsi="Arial" w:cs="Arial"/>
          <w:sz w:val="24"/>
          <w:szCs w:val="24"/>
        </w:rPr>
        <w:t xml:space="preserve"> </w:t>
      </w:r>
      <w:r w:rsidRPr="002A6220">
        <w:rPr>
          <w:rFonts w:ascii="Arial" w:hAnsi="Arial" w:cs="Arial"/>
          <w:sz w:val="24"/>
          <w:szCs w:val="24"/>
        </w:rPr>
        <w:t xml:space="preserve">Ribbon Task Force to address certain higher education issues, and </w:t>
      </w:r>
      <w:r w:rsidR="00D979AE" w:rsidRPr="002A6220">
        <w:rPr>
          <w:rFonts w:ascii="Arial" w:hAnsi="Arial" w:cs="Arial"/>
          <w:sz w:val="24"/>
          <w:szCs w:val="24"/>
        </w:rPr>
        <w:t xml:space="preserve">the </w:t>
      </w:r>
      <w:r w:rsidRPr="002A6220">
        <w:rPr>
          <w:rFonts w:ascii="Arial" w:hAnsi="Arial" w:cs="Arial"/>
          <w:sz w:val="24"/>
          <w:szCs w:val="24"/>
        </w:rPr>
        <w:t>Board was invited to make appointments to that group.</w:t>
      </w:r>
      <w:r w:rsidR="00D979AE" w:rsidRPr="002A6220">
        <w:rPr>
          <w:rFonts w:ascii="Arial" w:hAnsi="Arial" w:cs="Arial"/>
          <w:sz w:val="24"/>
          <w:szCs w:val="24"/>
        </w:rPr>
        <w:t xml:space="preserve">  </w:t>
      </w:r>
    </w:p>
    <w:p w:rsidR="00CC4879" w:rsidRPr="002A6220" w:rsidRDefault="00CC4879" w:rsidP="00CC4879">
      <w:pPr>
        <w:autoSpaceDE w:val="0"/>
        <w:autoSpaceDN w:val="0"/>
        <w:adjustRightInd w:val="0"/>
        <w:spacing w:after="0" w:line="240" w:lineRule="auto"/>
        <w:rPr>
          <w:rFonts w:ascii="Arial" w:hAnsi="Arial" w:cs="Arial"/>
          <w:sz w:val="24"/>
          <w:szCs w:val="24"/>
        </w:rPr>
      </w:pPr>
    </w:p>
    <w:p w:rsidR="002A6220" w:rsidRDefault="00CC4879" w:rsidP="00CC4879">
      <w:pPr>
        <w:autoSpaceDE w:val="0"/>
        <w:autoSpaceDN w:val="0"/>
        <w:adjustRightInd w:val="0"/>
        <w:spacing w:after="0" w:line="240" w:lineRule="auto"/>
        <w:rPr>
          <w:rFonts w:ascii="Arial" w:hAnsi="Arial" w:cs="Arial"/>
          <w:sz w:val="24"/>
          <w:szCs w:val="24"/>
        </w:rPr>
      </w:pPr>
      <w:r w:rsidRPr="002A6220">
        <w:rPr>
          <w:rFonts w:ascii="Arial" w:hAnsi="Arial" w:cs="Arial"/>
          <w:sz w:val="24"/>
          <w:szCs w:val="24"/>
        </w:rPr>
        <w:t xml:space="preserve">Much work is being done to help </w:t>
      </w:r>
      <w:r w:rsidR="00D979AE" w:rsidRPr="002A6220">
        <w:rPr>
          <w:rFonts w:ascii="Arial" w:hAnsi="Arial" w:cs="Arial"/>
          <w:sz w:val="24"/>
          <w:szCs w:val="24"/>
        </w:rPr>
        <w:t>Florida make informed, strategic choices on how best to increase the state’s educational attainment.  A key piece of</w:t>
      </w:r>
      <w:r w:rsidR="0043770E" w:rsidRPr="002A6220">
        <w:rPr>
          <w:rFonts w:ascii="Arial" w:hAnsi="Arial" w:cs="Arial"/>
          <w:sz w:val="24"/>
          <w:szCs w:val="24"/>
        </w:rPr>
        <w:t xml:space="preserve"> this </w:t>
      </w:r>
      <w:r w:rsidR="00D979AE" w:rsidRPr="002A6220">
        <w:rPr>
          <w:rFonts w:ascii="Arial" w:hAnsi="Arial" w:cs="Arial"/>
          <w:sz w:val="24"/>
          <w:szCs w:val="24"/>
        </w:rPr>
        <w:t xml:space="preserve">strategic planning must focus on how Florida is currently addressing </w:t>
      </w:r>
      <w:r w:rsidRPr="002A6220">
        <w:rPr>
          <w:rFonts w:ascii="Arial" w:hAnsi="Arial" w:cs="Arial"/>
          <w:sz w:val="24"/>
          <w:szCs w:val="24"/>
        </w:rPr>
        <w:t xml:space="preserve">the very specific statewide need for future baccalaureate degree attainment. In </w:t>
      </w:r>
      <w:r w:rsidR="0043770E" w:rsidRPr="002A6220">
        <w:rPr>
          <w:rFonts w:ascii="Arial" w:hAnsi="Arial" w:cs="Arial"/>
          <w:sz w:val="24"/>
          <w:szCs w:val="24"/>
        </w:rPr>
        <w:t xml:space="preserve">the </w:t>
      </w:r>
      <w:r w:rsidRPr="002A6220">
        <w:rPr>
          <w:rFonts w:ascii="Arial" w:hAnsi="Arial" w:cs="Arial"/>
          <w:sz w:val="24"/>
          <w:szCs w:val="24"/>
        </w:rPr>
        <w:t xml:space="preserve">2025 Strategic Plan, the Board embraced a vision to increase baccalaureate degrees awarded statewide from 53,000 per year to 90,000 per year—an increase of 37,000 graduates per year. To generate these additional graduates, we </w:t>
      </w:r>
      <w:r w:rsidR="0043770E" w:rsidRPr="002A6220">
        <w:rPr>
          <w:rFonts w:ascii="Arial" w:hAnsi="Arial" w:cs="Arial"/>
          <w:sz w:val="24"/>
          <w:szCs w:val="24"/>
        </w:rPr>
        <w:t xml:space="preserve">will </w:t>
      </w:r>
      <w:r w:rsidRPr="002A6220">
        <w:rPr>
          <w:rFonts w:ascii="Arial" w:hAnsi="Arial" w:cs="Arial"/>
          <w:sz w:val="24"/>
          <w:szCs w:val="24"/>
        </w:rPr>
        <w:t xml:space="preserve">need many times that number of new students in </w:t>
      </w:r>
      <w:r w:rsidR="0043770E" w:rsidRPr="002A6220">
        <w:rPr>
          <w:rFonts w:ascii="Arial" w:hAnsi="Arial" w:cs="Arial"/>
          <w:sz w:val="24"/>
          <w:szCs w:val="24"/>
        </w:rPr>
        <w:t xml:space="preserve">Florida’s institutions. </w:t>
      </w:r>
      <w:r w:rsidRPr="002A6220">
        <w:rPr>
          <w:rFonts w:ascii="Arial" w:hAnsi="Arial" w:cs="Arial"/>
          <w:sz w:val="24"/>
          <w:szCs w:val="24"/>
        </w:rPr>
        <w:t xml:space="preserve">That fact alone raises </w:t>
      </w:r>
      <w:r w:rsidR="002A6220">
        <w:rPr>
          <w:rFonts w:ascii="Arial" w:hAnsi="Arial" w:cs="Arial"/>
          <w:sz w:val="24"/>
          <w:szCs w:val="24"/>
        </w:rPr>
        <w:t xml:space="preserve">questions </w:t>
      </w:r>
      <w:r w:rsidRPr="002A6220">
        <w:rPr>
          <w:rFonts w:ascii="Arial" w:hAnsi="Arial" w:cs="Arial"/>
          <w:sz w:val="24"/>
          <w:szCs w:val="24"/>
        </w:rPr>
        <w:t>we currently cannot answer</w:t>
      </w:r>
      <w:r w:rsidR="002A6220">
        <w:rPr>
          <w:rFonts w:ascii="Arial" w:hAnsi="Arial" w:cs="Arial"/>
          <w:sz w:val="24"/>
          <w:szCs w:val="24"/>
        </w:rPr>
        <w:t>:</w:t>
      </w:r>
    </w:p>
    <w:p w:rsidR="002A6220" w:rsidRPr="002A6220" w:rsidRDefault="002A6220" w:rsidP="00CC4879">
      <w:pPr>
        <w:autoSpaceDE w:val="0"/>
        <w:autoSpaceDN w:val="0"/>
        <w:adjustRightInd w:val="0"/>
        <w:spacing w:after="0" w:line="240" w:lineRule="auto"/>
        <w:rPr>
          <w:rFonts w:ascii="Arial" w:hAnsi="Arial" w:cs="Arial"/>
          <w:sz w:val="24"/>
          <w:szCs w:val="24"/>
        </w:rPr>
      </w:pPr>
    </w:p>
    <w:p w:rsidR="00CC4879" w:rsidRPr="002A6220" w:rsidRDefault="00CC4879" w:rsidP="00D979AE">
      <w:pPr>
        <w:pStyle w:val="ListParagraph"/>
        <w:numPr>
          <w:ilvl w:val="0"/>
          <w:numId w:val="13"/>
        </w:numPr>
        <w:autoSpaceDE w:val="0"/>
        <w:autoSpaceDN w:val="0"/>
        <w:adjustRightInd w:val="0"/>
        <w:spacing w:after="0" w:line="240" w:lineRule="auto"/>
        <w:rPr>
          <w:rFonts w:ascii="Arial" w:hAnsi="Arial" w:cs="Arial"/>
          <w:sz w:val="24"/>
          <w:szCs w:val="24"/>
        </w:rPr>
      </w:pPr>
      <w:r w:rsidRPr="002A6220">
        <w:rPr>
          <w:rFonts w:ascii="Arial" w:hAnsi="Arial" w:cs="Arial"/>
          <w:sz w:val="24"/>
          <w:szCs w:val="24"/>
        </w:rPr>
        <w:t>Is the pipeline of college-age students going to be able to produce a sufficient number of college</w:t>
      </w:r>
      <w:r w:rsidR="00D979AE" w:rsidRPr="002A6220">
        <w:rPr>
          <w:rFonts w:ascii="Arial" w:hAnsi="Arial" w:cs="Arial"/>
          <w:sz w:val="24"/>
          <w:szCs w:val="24"/>
        </w:rPr>
        <w:t>-</w:t>
      </w:r>
      <w:r w:rsidRPr="002A6220">
        <w:rPr>
          <w:rFonts w:ascii="Arial" w:hAnsi="Arial" w:cs="Arial"/>
          <w:sz w:val="24"/>
          <w:szCs w:val="24"/>
        </w:rPr>
        <w:t>ready</w:t>
      </w:r>
      <w:r w:rsidR="00D979AE" w:rsidRPr="002A6220">
        <w:rPr>
          <w:rFonts w:ascii="Arial" w:hAnsi="Arial" w:cs="Arial"/>
          <w:sz w:val="24"/>
          <w:szCs w:val="24"/>
        </w:rPr>
        <w:t xml:space="preserve"> </w:t>
      </w:r>
      <w:r w:rsidRPr="002A6220">
        <w:rPr>
          <w:rFonts w:ascii="Arial" w:hAnsi="Arial" w:cs="Arial"/>
          <w:sz w:val="24"/>
          <w:szCs w:val="24"/>
        </w:rPr>
        <w:t>students?</w:t>
      </w:r>
      <w:r w:rsidR="00D979AE" w:rsidRPr="002A6220">
        <w:rPr>
          <w:rFonts w:ascii="Arial" w:hAnsi="Arial" w:cs="Arial"/>
          <w:sz w:val="24"/>
          <w:szCs w:val="24"/>
        </w:rPr>
        <w:t xml:space="preserve"> </w:t>
      </w:r>
    </w:p>
    <w:p w:rsidR="00CC4879" w:rsidRPr="002A6220" w:rsidRDefault="00CC4879" w:rsidP="00D979AE">
      <w:pPr>
        <w:pStyle w:val="ListParagraph"/>
        <w:numPr>
          <w:ilvl w:val="0"/>
          <w:numId w:val="13"/>
        </w:numPr>
        <w:autoSpaceDE w:val="0"/>
        <w:autoSpaceDN w:val="0"/>
        <w:adjustRightInd w:val="0"/>
        <w:spacing w:after="0" w:line="240" w:lineRule="auto"/>
        <w:rPr>
          <w:rFonts w:ascii="Arial" w:hAnsi="Arial" w:cs="Arial"/>
          <w:sz w:val="24"/>
          <w:szCs w:val="24"/>
        </w:rPr>
      </w:pPr>
      <w:r w:rsidRPr="002A6220">
        <w:rPr>
          <w:rFonts w:ascii="Arial" w:hAnsi="Arial" w:cs="Arial"/>
          <w:sz w:val="24"/>
          <w:szCs w:val="24"/>
        </w:rPr>
        <w:t>Should all these new students attend our state universities, or is there a major role to be played</w:t>
      </w:r>
      <w:r w:rsidR="00D979AE" w:rsidRPr="002A6220">
        <w:rPr>
          <w:rFonts w:ascii="Arial" w:hAnsi="Arial" w:cs="Arial"/>
          <w:sz w:val="24"/>
          <w:szCs w:val="24"/>
        </w:rPr>
        <w:t xml:space="preserve"> </w:t>
      </w:r>
      <w:r w:rsidRPr="002A6220">
        <w:rPr>
          <w:rFonts w:ascii="Arial" w:hAnsi="Arial" w:cs="Arial"/>
          <w:sz w:val="24"/>
          <w:szCs w:val="24"/>
        </w:rPr>
        <w:t>by the State’s colleges?</w:t>
      </w:r>
    </w:p>
    <w:p w:rsidR="00CC4879" w:rsidRPr="002A6220" w:rsidRDefault="00CC4879" w:rsidP="00D979AE">
      <w:pPr>
        <w:pStyle w:val="ListParagraph"/>
        <w:numPr>
          <w:ilvl w:val="0"/>
          <w:numId w:val="13"/>
        </w:numPr>
        <w:autoSpaceDE w:val="0"/>
        <w:autoSpaceDN w:val="0"/>
        <w:adjustRightInd w:val="0"/>
        <w:spacing w:after="0" w:line="240" w:lineRule="auto"/>
        <w:rPr>
          <w:rFonts w:ascii="Arial" w:hAnsi="Arial" w:cs="Arial"/>
          <w:sz w:val="24"/>
          <w:szCs w:val="24"/>
        </w:rPr>
      </w:pPr>
      <w:r w:rsidRPr="002A6220">
        <w:rPr>
          <w:rFonts w:ascii="Arial" w:hAnsi="Arial" w:cs="Arial"/>
          <w:sz w:val="24"/>
          <w:szCs w:val="24"/>
        </w:rPr>
        <w:t>Is there going to be any need in the near future for additional universities or colleges to meet this</w:t>
      </w:r>
      <w:r w:rsidR="00D979AE" w:rsidRPr="002A6220">
        <w:rPr>
          <w:rFonts w:ascii="Arial" w:hAnsi="Arial" w:cs="Arial"/>
          <w:sz w:val="24"/>
          <w:szCs w:val="24"/>
        </w:rPr>
        <w:t xml:space="preserve"> </w:t>
      </w:r>
      <w:r w:rsidRPr="002A6220">
        <w:rPr>
          <w:rFonts w:ascii="Arial" w:hAnsi="Arial" w:cs="Arial"/>
          <w:sz w:val="24"/>
          <w:szCs w:val="24"/>
        </w:rPr>
        <w:t>demand?</w:t>
      </w:r>
    </w:p>
    <w:p w:rsidR="00CC4879" w:rsidRPr="002A6220" w:rsidRDefault="00CC4879" w:rsidP="00D979AE">
      <w:pPr>
        <w:pStyle w:val="ListParagraph"/>
        <w:numPr>
          <w:ilvl w:val="0"/>
          <w:numId w:val="13"/>
        </w:numPr>
        <w:autoSpaceDE w:val="0"/>
        <w:autoSpaceDN w:val="0"/>
        <w:adjustRightInd w:val="0"/>
        <w:spacing w:after="0" w:line="240" w:lineRule="auto"/>
        <w:rPr>
          <w:rFonts w:ascii="Arial" w:hAnsi="Arial" w:cs="Arial"/>
          <w:sz w:val="24"/>
          <w:szCs w:val="24"/>
        </w:rPr>
      </w:pPr>
      <w:r w:rsidRPr="002A6220">
        <w:rPr>
          <w:rFonts w:ascii="Arial" w:hAnsi="Arial" w:cs="Arial"/>
          <w:sz w:val="24"/>
          <w:szCs w:val="24"/>
        </w:rPr>
        <w:t>Will the increased demand be evenly distributed around the state or will there be some</w:t>
      </w:r>
      <w:r w:rsidR="00D979AE" w:rsidRPr="002A6220">
        <w:rPr>
          <w:rFonts w:ascii="Arial" w:hAnsi="Arial" w:cs="Arial"/>
          <w:sz w:val="24"/>
          <w:szCs w:val="24"/>
        </w:rPr>
        <w:t xml:space="preserve"> </w:t>
      </w:r>
      <w:r w:rsidRPr="002A6220">
        <w:rPr>
          <w:rFonts w:ascii="Arial" w:hAnsi="Arial" w:cs="Arial"/>
          <w:sz w:val="24"/>
          <w:szCs w:val="24"/>
        </w:rPr>
        <w:t>geographic areas disproportionately impacted?</w:t>
      </w:r>
    </w:p>
    <w:p w:rsidR="00D979AE" w:rsidRPr="002A6220" w:rsidRDefault="00D979AE" w:rsidP="00CC4879">
      <w:pPr>
        <w:autoSpaceDE w:val="0"/>
        <w:autoSpaceDN w:val="0"/>
        <w:adjustRightInd w:val="0"/>
        <w:spacing w:after="0" w:line="240" w:lineRule="auto"/>
        <w:rPr>
          <w:rFonts w:ascii="BookAntiqua" w:hAnsi="BookAntiqua" w:cs="BookAntiqua"/>
          <w:sz w:val="24"/>
          <w:szCs w:val="24"/>
        </w:rPr>
      </w:pPr>
    </w:p>
    <w:p w:rsidR="002A6220" w:rsidRPr="002A6220" w:rsidRDefault="00D979AE" w:rsidP="00D979AE">
      <w:pPr>
        <w:autoSpaceDE w:val="0"/>
        <w:autoSpaceDN w:val="0"/>
        <w:adjustRightInd w:val="0"/>
        <w:spacing w:after="0" w:line="240" w:lineRule="auto"/>
        <w:rPr>
          <w:rFonts w:ascii="Arial" w:hAnsi="Arial" w:cs="Arial"/>
          <w:b/>
          <w:bCs/>
          <w:sz w:val="24"/>
          <w:szCs w:val="24"/>
        </w:rPr>
      </w:pPr>
      <w:r w:rsidRPr="002A6220">
        <w:rPr>
          <w:rFonts w:ascii="Arial" w:hAnsi="Arial" w:cs="Arial"/>
          <w:sz w:val="24"/>
          <w:szCs w:val="24"/>
        </w:rPr>
        <w:t xml:space="preserve">To answer these questions and marshal our resources in the best way possible, Florida needs to be able to focus on </w:t>
      </w:r>
      <w:r w:rsidR="00CC4879" w:rsidRPr="002A6220">
        <w:rPr>
          <w:rFonts w:ascii="Arial" w:hAnsi="Arial" w:cs="Arial"/>
          <w:sz w:val="24"/>
          <w:szCs w:val="24"/>
        </w:rPr>
        <w:t>the crucial issue of capacity</w:t>
      </w:r>
      <w:r w:rsidRPr="002A6220">
        <w:rPr>
          <w:rFonts w:ascii="Arial" w:hAnsi="Arial" w:cs="Arial"/>
          <w:sz w:val="24"/>
          <w:szCs w:val="24"/>
        </w:rPr>
        <w:t xml:space="preserve"> in higher education. It is for this purpose that the</w:t>
      </w:r>
      <w:r w:rsidR="00CC4879" w:rsidRPr="002A6220">
        <w:rPr>
          <w:rFonts w:ascii="Arial" w:hAnsi="Arial" w:cs="Arial"/>
          <w:sz w:val="24"/>
          <w:szCs w:val="24"/>
        </w:rPr>
        <w:t xml:space="preserve"> </w:t>
      </w:r>
      <w:r w:rsidR="00CC4879" w:rsidRPr="002A6220">
        <w:rPr>
          <w:rFonts w:ascii="Arial" w:hAnsi="Arial" w:cs="Arial"/>
          <w:bCs/>
          <w:sz w:val="24"/>
          <w:szCs w:val="24"/>
        </w:rPr>
        <w:t>Board of Governors’ Commission on Florida Higher Education Access</w:t>
      </w:r>
      <w:r w:rsidRPr="002A6220">
        <w:rPr>
          <w:rFonts w:ascii="Arial" w:hAnsi="Arial" w:cs="Arial"/>
          <w:bCs/>
          <w:sz w:val="24"/>
          <w:szCs w:val="24"/>
        </w:rPr>
        <w:t xml:space="preserve"> </w:t>
      </w:r>
      <w:r w:rsidR="00CC4879" w:rsidRPr="002A6220">
        <w:rPr>
          <w:rFonts w:ascii="Arial" w:hAnsi="Arial" w:cs="Arial"/>
          <w:bCs/>
          <w:sz w:val="24"/>
          <w:szCs w:val="24"/>
        </w:rPr>
        <w:t>and Degree Attainment</w:t>
      </w:r>
      <w:r w:rsidRPr="002A6220">
        <w:rPr>
          <w:rFonts w:ascii="Arial" w:hAnsi="Arial" w:cs="Arial"/>
          <w:bCs/>
          <w:sz w:val="24"/>
          <w:szCs w:val="24"/>
        </w:rPr>
        <w:t xml:space="preserve"> was created by Chair </w:t>
      </w:r>
      <w:r w:rsidR="002A6220" w:rsidRPr="002A6220">
        <w:rPr>
          <w:rFonts w:ascii="Arial" w:hAnsi="Arial" w:cs="Arial"/>
          <w:bCs/>
          <w:sz w:val="24"/>
          <w:szCs w:val="24"/>
        </w:rPr>
        <w:t xml:space="preserve">Dean </w:t>
      </w:r>
      <w:r w:rsidRPr="002A6220">
        <w:rPr>
          <w:rFonts w:ascii="Arial" w:hAnsi="Arial" w:cs="Arial"/>
          <w:bCs/>
          <w:sz w:val="24"/>
          <w:szCs w:val="24"/>
        </w:rPr>
        <w:t>Colson on May 16, 2012</w:t>
      </w:r>
      <w:r w:rsidR="00CC4879" w:rsidRPr="002A6220">
        <w:rPr>
          <w:rFonts w:ascii="Arial" w:hAnsi="Arial" w:cs="Arial"/>
          <w:bCs/>
          <w:sz w:val="24"/>
          <w:szCs w:val="24"/>
        </w:rPr>
        <w:t>.</w:t>
      </w:r>
      <w:r w:rsidR="00CC4879" w:rsidRPr="002A6220">
        <w:rPr>
          <w:rFonts w:ascii="Arial" w:hAnsi="Arial" w:cs="Arial"/>
          <w:b/>
          <w:bCs/>
          <w:sz w:val="24"/>
          <w:szCs w:val="24"/>
        </w:rPr>
        <w:t xml:space="preserve"> </w:t>
      </w:r>
    </w:p>
    <w:p w:rsidR="002A6220" w:rsidRPr="002A6220" w:rsidRDefault="002A6220" w:rsidP="00D979AE">
      <w:pPr>
        <w:autoSpaceDE w:val="0"/>
        <w:autoSpaceDN w:val="0"/>
        <w:adjustRightInd w:val="0"/>
        <w:spacing w:after="0" w:line="240" w:lineRule="auto"/>
        <w:rPr>
          <w:rFonts w:ascii="Arial" w:hAnsi="Arial" w:cs="Arial"/>
          <w:b/>
          <w:bCs/>
          <w:sz w:val="24"/>
          <w:szCs w:val="24"/>
        </w:rPr>
      </w:pPr>
    </w:p>
    <w:p w:rsidR="002A6220" w:rsidRDefault="002A6220" w:rsidP="002A6220">
      <w:pPr>
        <w:autoSpaceDE w:val="0"/>
        <w:autoSpaceDN w:val="0"/>
        <w:adjustRightInd w:val="0"/>
        <w:spacing w:after="0" w:line="240" w:lineRule="auto"/>
        <w:rPr>
          <w:rFonts w:ascii="Arial" w:hAnsi="Arial" w:cs="Arial"/>
          <w:sz w:val="24"/>
          <w:szCs w:val="24"/>
        </w:rPr>
      </w:pPr>
      <w:r w:rsidRPr="002A6220">
        <w:rPr>
          <w:rFonts w:ascii="Arial" w:hAnsi="Arial" w:cs="Arial"/>
          <w:bCs/>
          <w:sz w:val="24"/>
          <w:szCs w:val="24"/>
        </w:rPr>
        <w:t xml:space="preserve">This new Commission </w:t>
      </w:r>
      <w:r>
        <w:rPr>
          <w:rFonts w:ascii="Arial" w:hAnsi="Arial" w:cs="Arial"/>
          <w:bCs/>
          <w:sz w:val="24"/>
          <w:szCs w:val="24"/>
        </w:rPr>
        <w:t xml:space="preserve">will operate on a timeline that will allow it build upon the work </w:t>
      </w:r>
      <w:r w:rsidR="00CC4879" w:rsidRPr="002A6220">
        <w:rPr>
          <w:rFonts w:ascii="Arial" w:hAnsi="Arial" w:cs="Arial"/>
          <w:sz w:val="24"/>
          <w:szCs w:val="24"/>
        </w:rPr>
        <w:t xml:space="preserve">of the new groups that are each </w:t>
      </w:r>
      <w:r>
        <w:rPr>
          <w:rFonts w:ascii="Arial" w:hAnsi="Arial" w:cs="Arial"/>
          <w:sz w:val="24"/>
          <w:szCs w:val="24"/>
        </w:rPr>
        <w:t xml:space="preserve">addressing </w:t>
      </w:r>
      <w:r w:rsidR="00CC4879" w:rsidRPr="002A6220">
        <w:rPr>
          <w:rFonts w:ascii="Arial" w:hAnsi="Arial" w:cs="Arial"/>
          <w:sz w:val="24"/>
          <w:szCs w:val="24"/>
        </w:rPr>
        <w:t>particular iss</w:t>
      </w:r>
      <w:r w:rsidRPr="002A6220">
        <w:rPr>
          <w:rFonts w:ascii="Arial" w:hAnsi="Arial" w:cs="Arial"/>
          <w:sz w:val="24"/>
          <w:szCs w:val="24"/>
        </w:rPr>
        <w:t xml:space="preserve">ues affecting higher education, including </w:t>
      </w:r>
    </w:p>
    <w:p w:rsidR="005F03BC" w:rsidRDefault="005F03BC" w:rsidP="002A6220">
      <w:pPr>
        <w:autoSpaceDE w:val="0"/>
        <w:autoSpaceDN w:val="0"/>
        <w:adjustRightInd w:val="0"/>
        <w:spacing w:after="0" w:line="240" w:lineRule="auto"/>
        <w:rPr>
          <w:rFonts w:ascii="Arial" w:hAnsi="Arial" w:cs="Arial"/>
          <w:sz w:val="24"/>
          <w:szCs w:val="24"/>
        </w:rPr>
      </w:pPr>
    </w:p>
    <w:p w:rsidR="002A6220" w:rsidRDefault="002A6220" w:rsidP="002A6220">
      <w:pPr>
        <w:pStyle w:val="ListParagraph"/>
        <w:numPr>
          <w:ilvl w:val="0"/>
          <w:numId w:val="14"/>
        </w:numPr>
        <w:autoSpaceDE w:val="0"/>
        <w:autoSpaceDN w:val="0"/>
        <w:adjustRightInd w:val="0"/>
        <w:spacing w:after="0" w:line="240" w:lineRule="auto"/>
        <w:rPr>
          <w:rFonts w:ascii="Arial" w:hAnsi="Arial" w:cs="Arial"/>
          <w:sz w:val="24"/>
          <w:szCs w:val="24"/>
        </w:rPr>
      </w:pPr>
      <w:r w:rsidRPr="002A6220">
        <w:rPr>
          <w:rFonts w:ascii="Arial" w:hAnsi="Arial" w:cs="Arial"/>
          <w:sz w:val="24"/>
          <w:szCs w:val="24"/>
        </w:rPr>
        <w:t xml:space="preserve">the Task Force on Facilities Funding to </w:t>
      </w:r>
      <w:r w:rsidR="00CC4879" w:rsidRPr="002A6220">
        <w:rPr>
          <w:rFonts w:ascii="Arial" w:hAnsi="Arial" w:cs="Arial"/>
          <w:sz w:val="24"/>
          <w:szCs w:val="24"/>
        </w:rPr>
        <w:t>develop recommendations on facilities funding models and options</w:t>
      </w:r>
      <w:r w:rsidRPr="002A6220">
        <w:rPr>
          <w:rFonts w:ascii="Arial" w:hAnsi="Arial" w:cs="Arial"/>
          <w:sz w:val="24"/>
          <w:szCs w:val="24"/>
        </w:rPr>
        <w:t xml:space="preserve"> by November 7, 2012; </w:t>
      </w:r>
    </w:p>
    <w:p w:rsidR="002A6220" w:rsidRDefault="002A6220" w:rsidP="002A6220">
      <w:pPr>
        <w:pStyle w:val="ListParagraph"/>
        <w:numPr>
          <w:ilvl w:val="0"/>
          <w:numId w:val="14"/>
        </w:numPr>
        <w:autoSpaceDE w:val="0"/>
        <w:autoSpaceDN w:val="0"/>
        <w:adjustRightInd w:val="0"/>
        <w:spacing w:after="0" w:line="240" w:lineRule="auto"/>
        <w:rPr>
          <w:rFonts w:ascii="Arial" w:hAnsi="Arial" w:cs="Arial"/>
          <w:sz w:val="24"/>
          <w:szCs w:val="24"/>
        </w:rPr>
      </w:pPr>
      <w:r w:rsidRPr="002A6220">
        <w:rPr>
          <w:rFonts w:ascii="Arial" w:hAnsi="Arial" w:cs="Arial"/>
          <w:sz w:val="24"/>
          <w:szCs w:val="24"/>
        </w:rPr>
        <w:lastRenderedPageBreak/>
        <w:t xml:space="preserve">the </w:t>
      </w:r>
      <w:r w:rsidR="00CC4879" w:rsidRPr="002A6220">
        <w:rPr>
          <w:rFonts w:ascii="Arial" w:hAnsi="Arial" w:cs="Arial"/>
          <w:sz w:val="24"/>
          <w:szCs w:val="24"/>
        </w:rPr>
        <w:t xml:space="preserve">Governor’s Blue Ribbon Task Force on State Higher Education, which </w:t>
      </w:r>
      <w:r w:rsidRPr="002A6220">
        <w:rPr>
          <w:rFonts w:ascii="Arial" w:hAnsi="Arial" w:cs="Arial"/>
          <w:sz w:val="24"/>
          <w:szCs w:val="24"/>
        </w:rPr>
        <w:t xml:space="preserve">will deliver recommendations to the Governor on </w:t>
      </w:r>
      <w:r w:rsidR="00CC4879" w:rsidRPr="002A6220">
        <w:rPr>
          <w:rFonts w:ascii="Arial" w:hAnsi="Arial" w:cs="Arial"/>
          <w:sz w:val="24"/>
          <w:szCs w:val="24"/>
        </w:rPr>
        <w:t xml:space="preserve">accountability, funding and governance </w:t>
      </w:r>
      <w:r w:rsidRPr="002A6220">
        <w:rPr>
          <w:rFonts w:ascii="Arial" w:hAnsi="Arial" w:cs="Arial"/>
          <w:sz w:val="24"/>
          <w:szCs w:val="24"/>
        </w:rPr>
        <w:t xml:space="preserve">by October 30, 2012; </w:t>
      </w:r>
    </w:p>
    <w:p w:rsidR="002F2486" w:rsidRDefault="002A6220" w:rsidP="002A6220">
      <w:pPr>
        <w:pStyle w:val="ListParagraph"/>
        <w:numPr>
          <w:ilvl w:val="0"/>
          <w:numId w:val="14"/>
        </w:numPr>
        <w:autoSpaceDE w:val="0"/>
        <w:autoSpaceDN w:val="0"/>
        <w:adjustRightInd w:val="0"/>
        <w:spacing w:after="0" w:line="240" w:lineRule="auto"/>
        <w:rPr>
          <w:rFonts w:ascii="Arial" w:hAnsi="Arial" w:cs="Arial"/>
          <w:sz w:val="24"/>
          <w:szCs w:val="24"/>
        </w:rPr>
      </w:pPr>
      <w:r w:rsidRPr="002A6220">
        <w:rPr>
          <w:rFonts w:ascii="Arial" w:hAnsi="Arial" w:cs="Arial"/>
          <w:sz w:val="24"/>
          <w:szCs w:val="24"/>
        </w:rPr>
        <w:t xml:space="preserve">the new </w:t>
      </w:r>
      <w:r w:rsidR="00CC4879" w:rsidRPr="002A6220">
        <w:rPr>
          <w:rFonts w:ascii="Arial" w:hAnsi="Arial" w:cs="Arial"/>
          <w:sz w:val="24"/>
          <w:szCs w:val="24"/>
        </w:rPr>
        <w:t xml:space="preserve">Board of Governors </w:t>
      </w:r>
      <w:r w:rsidRPr="002A6220">
        <w:rPr>
          <w:rFonts w:ascii="Arial" w:hAnsi="Arial" w:cs="Arial"/>
          <w:sz w:val="24"/>
          <w:szCs w:val="24"/>
        </w:rPr>
        <w:t>T</w:t>
      </w:r>
      <w:r w:rsidR="00CC4879" w:rsidRPr="002A6220">
        <w:rPr>
          <w:rFonts w:ascii="Arial" w:hAnsi="Arial" w:cs="Arial"/>
          <w:sz w:val="24"/>
          <w:szCs w:val="24"/>
        </w:rPr>
        <w:t xml:space="preserve">ask </w:t>
      </w:r>
      <w:r w:rsidRPr="002A6220">
        <w:rPr>
          <w:rFonts w:ascii="Arial" w:hAnsi="Arial" w:cs="Arial"/>
          <w:sz w:val="24"/>
          <w:szCs w:val="24"/>
        </w:rPr>
        <w:t>F</w:t>
      </w:r>
      <w:r w:rsidR="00CC4879" w:rsidRPr="002A6220">
        <w:rPr>
          <w:rFonts w:ascii="Arial" w:hAnsi="Arial" w:cs="Arial"/>
          <w:sz w:val="24"/>
          <w:szCs w:val="24"/>
        </w:rPr>
        <w:t xml:space="preserve">orce </w:t>
      </w:r>
      <w:r w:rsidRPr="002A6220">
        <w:rPr>
          <w:rFonts w:ascii="Arial" w:hAnsi="Arial" w:cs="Arial"/>
          <w:sz w:val="24"/>
          <w:szCs w:val="24"/>
        </w:rPr>
        <w:t xml:space="preserve">that will </w:t>
      </w:r>
      <w:r w:rsidR="00CC4879" w:rsidRPr="002A6220">
        <w:rPr>
          <w:rFonts w:ascii="Arial" w:hAnsi="Arial" w:cs="Arial"/>
          <w:sz w:val="24"/>
          <w:szCs w:val="24"/>
        </w:rPr>
        <w:t xml:space="preserve">offer recommendations on the expansion of online degree programs </w:t>
      </w:r>
      <w:r w:rsidRPr="002A6220">
        <w:rPr>
          <w:rFonts w:ascii="Arial" w:hAnsi="Arial" w:cs="Arial"/>
          <w:sz w:val="24"/>
          <w:szCs w:val="24"/>
        </w:rPr>
        <w:t xml:space="preserve">and explore </w:t>
      </w:r>
      <w:r w:rsidR="00CC4879" w:rsidRPr="002A6220">
        <w:rPr>
          <w:rFonts w:ascii="Arial" w:hAnsi="Arial" w:cs="Arial"/>
          <w:sz w:val="24"/>
          <w:szCs w:val="24"/>
        </w:rPr>
        <w:t xml:space="preserve">the potential role for an online </w:t>
      </w:r>
      <w:r w:rsidR="002F2486">
        <w:rPr>
          <w:rFonts w:ascii="Arial" w:hAnsi="Arial" w:cs="Arial"/>
          <w:sz w:val="24"/>
          <w:szCs w:val="24"/>
        </w:rPr>
        <w:t xml:space="preserve">university; and </w:t>
      </w:r>
    </w:p>
    <w:p w:rsidR="00CC4879" w:rsidRPr="002A6220" w:rsidRDefault="00CC4879" w:rsidP="002A6220">
      <w:pPr>
        <w:pStyle w:val="ListParagraph"/>
        <w:numPr>
          <w:ilvl w:val="0"/>
          <w:numId w:val="14"/>
        </w:numPr>
        <w:autoSpaceDE w:val="0"/>
        <w:autoSpaceDN w:val="0"/>
        <w:adjustRightInd w:val="0"/>
        <w:spacing w:after="0" w:line="240" w:lineRule="auto"/>
        <w:rPr>
          <w:rFonts w:ascii="Arial" w:hAnsi="Arial" w:cs="Arial"/>
          <w:sz w:val="24"/>
          <w:szCs w:val="24"/>
        </w:rPr>
      </w:pPr>
      <w:r w:rsidRPr="002A6220">
        <w:rPr>
          <w:rFonts w:ascii="Arial" w:hAnsi="Arial" w:cs="Arial"/>
          <w:sz w:val="24"/>
          <w:szCs w:val="24"/>
        </w:rPr>
        <w:t>the Higher Education Coordinating Council</w:t>
      </w:r>
      <w:r w:rsidR="002F2486">
        <w:rPr>
          <w:rFonts w:ascii="Arial" w:hAnsi="Arial" w:cs="Arial"/>
          <w:sz w:val="24"/>
          <w:szCs w:val="24"/>
        </w:rPr>
        <w:t>, which</w:t>
      </w:r>
      <w:r w:rsidRPr="002A6220">
        <w:rPr>
          <w:rFonts w:ascii="Arial" w:hAnsi="Arial" w:cs="Arial"/>
          <w:sz w:val="24"/>
          <w:szCs w:val="24"/>
        </w:rPr>
        <w:t xml:space="preserve"> was created in law a few years ago</w:t>
      </w:r>
      <w:r w:rsidR="002F2486">
        <w:rPr>
          <w:rFonts w:ascii="Arial" w:hAnsi="Arial" w:cs="Arial"/>
          <w:sz w:val="24"/>
          <w:szCs w:val="24"/>
        </w:rPr>
        <w:t xml:space="preserve"> to provide </w:t>
      </w:r>
      <w:r w:rsidRPr="002A6220">
        <w:rPr>
          <w:rFonts w:ascii="Arial" w:hAnsi="Arial" w:cs="Arial"/>
          <w:sz w:val="24"/>
          <w:szCs w:val="24"/>
        </w:rPr>
        <w:t xml:space="preserve">an ongoing forum for the chief executives of Florida’s education delivery systems and business leaders appointed by the Legislature to regularly meet and discuss a wide range of cross-sector issues. </w:t>
      </w:r>
    </w:p>
    <w:p w:rsidR="00CC4879" w:rsidRDefault="00CC4879" w:rsidP="00CC4879">
      <w:pPr>
        <w:pStyle w:val="Default"/>
        <w:rPr>
          <w:rFonts w:ascii="Arial" w:hAnsi="Arial" w:cs="Arial"/>
        </w:rPr>
      </w:pPr>
    </w:p>
    <w:p w:rsidR="002F2486" w:rsidRDefault="002F2486" w:rsidP="00CC4879">
      <w:pPr>
        <w:pStyle w:val="Default"/>
        <w:rPr>
          <w:rFonts w:ascii="Arial" w:hAnsi="Arial" w:cs="Arial"/>
          <w:u w:val="single"/>
        </w:rPr>
      </w:pPr>
      <w:r>
        <w:rPr>
          <w:rFonts w:ascii="Arial" w:hAnsi="Arial" w:cs="Arial"/>
          <w:u w:val="single"/>
        </w:rPr>
        <w:t>The Tasks</w:t>
      </w:r>
    </w:p>
    <w:p w:rsidR="002F2486" w:rsidRPr="002F2486" w:rsidRDefault="002F2486" w:rsidP="00CC4879">
      <w:pPr>
        <w:pStyle w:val="Default"/>
        <w:rPr>
          <w:rFonts w:ascii="Arial" w:hAnsi="Arial" w:cs="Arial"/>
          <w:u w:val="single"/>
        </w:rPr>
      </w:pPr>
    </w:p>
    <w:p w:rsidR="002F2486" w:rsidRDefault="002F2486" w:rsidP="002F2486">
      <w:pPr>
        <w:pStyle w:val="Default"/>
        <w:rPr>
          <w:rFonts w:ascii="Arial" w:hAnsi="Arial" w:cs="Arial"/>
        </w:rPr>
      </w:pPr>
      <w:r>
        <w:rPr>
          <w:rFonts w:ascii="Arial" w:hAnsi="Arial" w:cs="Arial"/>
        </w:rPr>
        <w:t>T</w:t>
      </w:r>
      <w:r w:rsidRPr="002A6220">
        <w:rPr>
          <w:rFonts w:ascii="Arial" w:hAnsi="Arial" w:cs="Arial"/>
        </w:rPr>
        <w:t>he Commission</w:t>
      </w:r>
      <w:r>
        <w:rPr>
          <w:rFonts w:ascii="Arial" w:hAnsi="Arial" w:cs="Arial"/>
        </w:rPr>
        <w:t xml:space="preserve"> must focus on </w:t>
      </w:r>
      <w:r w:rsidRPr="002A6220">
        <w:rPr>
          <w:rFonts w:ascii="Arial" w:hAnsi="Arial" w:cs="Arial"/>
        </w:rPr>
        <w:t>the issue of “capacity” and make recommendation</w:t>
      </w:r>
      <w:r>
        <w:rPr>
          <w:rFonts w:ascii="Arial" w:hAnsi="Arial" w:cs="Arial"/>
        </w:rPr>
        <w:t xml:space="preserve">s  </w:t>
      </w:r>
      <w:r w:rsidRPr="002A6220">
        <w:rPr>
          <w:rFonts w:ascii="Arial" w:hAnsi="Arial" w:cs="Arial"/>
        </w:rPr>
        <w:t xml:space="preserve"> regarding how to achieve optimal access and degree attainment for our State. In the course of doing </w:t>
      </w:r>
      <w:r>
        <w:rPr>
          <w:rFonts w:ascii="Arial" w:hAnsi="Arial" w:cs="Arial"/>
        </w:rPr>
        <w:t xml:space="preserve">its </w:t>
      </w:r>
      <w:r w:rsidRPr="002A6220">
        <w:rPr>
          <w:rFonts w:ascii="Arial" w:hAnsi="Arial" w:cs="Arial"/>
        </w:rPr>
        <w:t xml:space="preserve">work, </w:t>
      </w:r>
      <w:r>
        <w:rPr>
          <w:rFonts w:ascii="Arial" w:hAnsi="Arial" w:cs="Arial"/>
        </w:rPr>
        <w:t xml:space="preserve">the Commission will rely upon data to inform its recommendations and </w:t>
      </w:r>
      <w:r w:rsidRPr="002A6220">
        <w:rPr>
          <w:rFonts w:ascii="Arial" w:hAnsi="Arial" w:cs="Arial"/>
        </w:rPr>
        <w:t>consider factors such as:</w:t>
      </w:r>
    </w:p>
    <w:p w:rsidR="002F2486" w:rsidRPr="002A6220" w:rsidRDefault="002F2486" w:rsidP="002F2486">
      <w:pPr>
        <w:pStyle w:val="Default"/>
        <w:rPr>
          <w:rFonts w:ascii="Arial" w:hAnsi="Arial" w:cs="Arial"/>
        </w:rPr>
      </w:pPr>
    </w:p>
    <w:p w:rsidR="002F2486" w:rsidRPr="002A6220" w:rsidRDefault="002F2486" w:rsidP="002F2486">
      <w:pPr>
        <w:pStyle w:val="Default"/>
        <w:numPr>
          <w:ilvl w:val="0"/>
          <w:numId w:val="11"/>
        </w:numPr>
        <w:rPr>
          <w:rFonts w:ascii="Arial" w:hAnsi="Arial" w:cs="Arial"/>
        </w:rPr>
      </w:pPr>
      <w:r w:rsidRPr="002A6220">
        <w:rPr>
          <w:rFonts w:ascii="Arial" w:hAnsi="Arial" w:cs="Arial"/>
        </w:rPr>
        <w:t xml:space="preserve">the State’s projected population growth; </w:t>
      </w:r>
    </w:p>
    <w:p w:rsidR="002F2486" w:rsidRPr="002A6220" w:rsidRDefault="002F2486" w:rsidP="002F2486">
      <w:pPr>
        <w:pStyle w:val="Default"/>
        <w:numPr>
          <w:ilvl w:val="0"/>
          <w:numId w:val="11"/>
        </w:numPr>
        <w:rPr>
          <w:rFonts w:ascii="Arial" w:hAnsi="Arial" w:cs="Arial"/>
        </w:rPr>
      </w:pPr>
      <w:r w:rsidRPr="002A6220">
        <w:rPr>
          <w:rFonts w:ascii="Arial" w:hAnsi="Arial" w:cs="Arial"/>
        </w:rPr>
        <w:t>employers’ needs for workers with advanced levels of knowledge and skills;</w:t>
      </w:r>
    </w:p>
    <w:p w:rsidR="002F2486" w:rsidRPr="002A6220" w:rsidRDefault="002F2486" w:rsidP="002F2486">
      <w:pPr>
        <w:pStyle w:val="Default"/>
        <w:numPr>
          <w:ilvl w:val="0"/>
          <w:numId w:val="11"/>
        </w:numPr>
        <w:rPr>
          <w:rFonts w:ascii="Arial" w:hAnsi="Arial" w:cs="Arial"/>
        </w:rPr>
      </w:pPr>
      <w:r w:rsidRPr="002A6220">
        <w:rPr>
          <w:rFonts w:ascii="Arial" w:hAnsi="Arial" w:cs="Arial"/>
        </w:rPr>
        <w:t xml:space="preserve">citizens’ demands for higher education; </w:t>
      </w:r>
    </w:p>
    <w:p w:rsidR="002F2486" w:rsidRPr="002A6220" w:rsidRDefault="002F2486" w:rsidP="002F2486">
      <w:pPr>
        <w:pStyle w:val="Default"/>
        <w:numPr>
          <w:ilvl w:val="0"/>
          <w:numId w:val="11"/>
        </w:numPr>
        <w:rPr>
          <w:rFonts w:ascii="Arial" w:hAnsi="Arial" w:cs="Arial"/>
        </w:rPr>
      </w:pPr>
      <w:r w:rsidRPr="002A6220">
        <w:rPr>
          <w:rFonts w:ascii="Arial" w:hAnsi="Arial" w:cs="Arial"/>
        </w:rPr>
        <w:t xml:space="preserve">existing postsecondary capacity issues; and </w:t>
      </w:r>
    </w:p>
    <w:p w:rsidR="002F2486" w:rsidRDefault="002F2486" w:rsidP="002F2486">
      <w:pPr>
        <w:pStyle w:val="Default"/>
        <w:numPr>
          <w:ilvl w:val="0"/>
          <w:numId w:val="11"/>
        </w:numPr>
        <w:rPr>
          <w:rFonts w:ascii="Arial" w:hAnsi="Arial" w:cs="Arial"/>
        </w:rPr>
      </w:pPr>
      <w:r w:rsidRPr="002A6220">
        <w:rPr>
          <w:rFonts w:ascii="Arial" w:hAnsi="Arial" w:cs="Arial"/>
        </w:rPr>
        <w:t>regional or state-wide factors that could maximize, leverage, partner, or re-engineer existing resources.</w:t>
      </w:r>
    </w:p>
    <w:p w:rsidR="002F2486" w:rsidRPr="002A6220" w:rsidRDefault="002F2486" w:rsidP="002F2486">
      <w:pPr>
        <w:pStyle w:val="Default"/>
        <w:ind w:left="720"/>
        <w:rPr>
          <w:rFonts w:ascii="Arial" w:hAnsi="Arial" w:cs="Arial"/>
        </w:rPr>
      </w:pPr>
    </w:p>
    <w:p w:rsidR="002F2486" w:rsidRDefault="002F2486" w:rsidP="002F2486">
      <w:pPr>
        <w:spacing w:after="0"/>
        <w:rPr>
          <w:rFonts w:ascii="Arial" w:hAnsi="Arial" w:cs="Arial"/>
          <w:u w:val="single"/>
        </w:rPr>
      </w:pPr>
      <w:r w:rsidRPr="004F6790">
        <w:rPr>
          <w:rFonts w:ascii="Arial" w:hAnsi="Arial" w:cs="Arial"/>
          <w:u w:val="single"/>
        </w:rPr>
        <w:t>Guiding Questions</w:t>
      </w:r>
    </w:p>
    <w:p w:rsidR="002F2486" w:rsidRDefault="002F2486" w:rsidP="002F2486">
      <w:pPr>
        <w:spacing w:after="0"/>
        <w:rPr>
          <w:rFonts w:ascii="Arial" w:hAnsi="Arial" w:cs="Arial"/>
          <w:i/>
        </w:rPr>
      </w:pPr>
    </w:p>
    <w:p w:rsidR="002F2486" w:rsidRDefault="002F2486" w:rsidP="002F2486">
      <w:pPr>
        <w:spacing w:after="0"/>
        <w:rPr>
          <w:rFonts w:ascii="Arial" w:hAnsi="Arial" w:cs="Arial"/>
        </w:rPr>
      </w:pPr>
      <w:r>
        <w:rPr>
          <w:rFonts w:ascii="Arial" w:hAnsi="Arial" w:cs="Arial"/>
        </w:rPr>
        <w:t>Three critical questions must be addressed in the Commission’s final recommendations:</w:t>
      </w:r>
    </w:p>
    <w:p w:rsidR="002F2486" w:rsidRDefault="002F2486" w:rsidP="002F2486">
      <w:pPr>
        <w:spacing w:after="0"/>
        <w:rPr>
          <w:rFonts w:ascii="Arial" w:hAnsi="Arial" w:cs="Arial"/>
        </w:rPr>
      </w:pPr>
    </w:p>
    <w:p w:rsidR="002F2486" w:rsidRDefault="002F2486" w:rsidP="002F2486">
      <w:pPr>
        <w:pStyle w:val="ListParagraph"/>
        <w:numPr>
          <w:ilvl w:val="0"/>
          <w:numId w:val="3"/>
        </w:numPr>
        <w:autoSpaceDE w:val="0"/>
        <w:autoSpaceDN w:val="0"/>
        <w:adjustRightInd w:val="0"/>
        <w:spacing w:after="0" w:line="240" w:lineRule="auto"/>
        <w:rPr>
          <w:rFonts w:ascii="Arial" w:hAnsi="Arial" w:cs="Arial"/>
        </w:rPr>
      </w:pPr>
      <w:r w:rsidRPr="00221475">
        <w:rPr>
          <w:rFonts w:ascii="Arial" w:hAnsi="Arial" w:cs="Arial"/>
        </w:rPr>
        <w:t xml:space="preserve">Can programs be strategically aligned to provide greater educational opportunities for access and degree completion? </w:t>
      </w:r>
    </w:p>
    <w:p w:rsidR="002F2486" w:rsidRDefault="002F2486" w:rsidP="002F2486">
      <w:pPr>
        <w:pStyle w:val="ListParagraph"/>
        <w:numPr>
          <w:ilvl w:val="0"/>
          <w:numId w:val="3"/>
        </w:numPr>
        <w:autoSpaceDE w:val="0"/>
        <w:autoSpaceDN w:val="0"/>
        <w:adjustRightInd w:val="0"/>
        <w:spacing w:after="0" w:line="240" w:lineRule="auto"/>
        <w:rPr>
          <w:rFonts w:ascii="Arial" w:hAnsi="Arial" w:cs="Arial"/>
        </w:rPr>
      </w:pPr>
      <w:r w:rsidRPr="002F2486">
        <w:rPr>
          <w:rFonts w:ascii="Arial" w:hAnsi="Arial" w:cs="Arial"/>
        </w:rPr>
        <w:t>Should new students attend our state universities, or is there a major role to be played by the State’s colleges?</w:t>
      </w:r>
    </w:p>
    <w:p w:rsidR="002F2486" w:rsidRPr="002F2486" w:rsidRDefault="002F2486" w:rsidP="002F2486">
      <w:pPr>
        <w:pStyle w:val="ListParagraph"/>
        <w:numPr>
          <w:ilvl w:val="0"/>
          <w:numId w:val="3"/>
        </w:numPr>
        <w:autoSpaceDE w:val="0"/>
        <w:autoSpaceDN w:val="0"/>
        <w:adjustRightInd w:val="0"/>
        <w:spacing w:after="0" w:line="240" w:lineRule="auto"/>
        <w:rPr>
          <w:rFonts w:ascii="Arial" w:hAnsi="Arial" w:cs="Arial"/>
        </w:rPr>
      </w:pPr>
      <w:r w:rsidRPr="002F2486">
        <w:rPr>
          <w:rFonts w:ascii="Arial" w:hAnsi="Arial" w:cs="Arial"/>
        </w:rPr>
        <w:t>Is there going to be any need in the near future for additional universities or colleges to meet demand</w:t>
      </w:r>
      <w:r>
        <w:rPr>
          <w:rFonts w:ascii="Arial" w:hAnsi="Arial" w:cs="Arial"/>
        </w:rPr>
        <w:t xml:space="preserve">?  </w:t>
      </w:r>
    </w:p>
    <w:p w:rsidR="002F2486" w:rsidRDefault="002F2486" w:rsidP="002F2486">
      <w:pPr>
        <w:spacing w:after="0"/>
        <w:rPr>
          <w:rFonts w:ascii="Arial" w:hAnsi="Arial" w:cs="Arial"/>
        </w:rPr>
      </w:pPr>
    </w:p>
    <w:p w:rsidR="002F2486" w:rsidRDefault="002F2486" w:rsidP="002F2486">
      <w:pPr>
        <w:spacing w:after="0"/>
        <w:rPr>
          <w:rFonts w:ascii="Arial" w:hAnsi="Arial" w:cs="Arial"/>
        </w:rPr>
      </w:pPr>
      <w:r>
        <w:rPr>
          <w:rFonts w:ascii="Arial" w:hAnsi="Arial" w:cs="Arial"/>
        </w:rPr>
        <w:t xml:space="preserve">To answer these questions regarding capacity, the Commission will likely rely upon the work of several state educational and workforce databases to answer the following sub-questions: </w:t>
      </w:r>
    </w:p>
    <w:p w:rsidR="002F2486" w:rsidRPr="002F2486" w:rsidRDefault="002F2486" w:rsidP="002F2486">
      <w:pPr>
        <w:pStyle w:val="ListParagraph"/>
        <w:numPr>
          <w:ilvl w:val="0"/>
          <w:numId w:val="18"/>
        </w:numPr>
        <w:spacing w:after="0"/>
        <w:rPr>
          <w:rFonts w:ascii="Arial" w:hAnsi="Arial" w:cs="Arial"/>
        </w:rPr>
      </w:pPr>
      <w:r w:rsidRPr="002F2486">
        <w:rPr>
          <w:rFonts w:ascii="Arial" w:hAnsi="Arial" w:cs="Arial"/>
        </w:rPr>
        <w:t>Where are</w:t>
      </w:r>
      <w:r>
        <w:rPr>
          <w:rFonts w:ascii="Arial" w:hAnsi="Arial" w:cs="Arial"/>
        </w:rPr>
        <w:t xml:space="preserve"> baccalaureate and </w:t>
      </w:r>
      <w:r w:rsidRPr="002F2486">
        <w:rPr>
          <w:rFonts w:ascii="Arial" w:hAnsi="Arial" w:cs="Arial"/>
        </w:rPr>
        <w:t>graduate degree programs currently offered at state colleges and four-year public and private universities?</w:t>
      </w:r>
    </w:p>
    <w:p w:rsidR="002F2486" w:rsidRPr="004F6790" w:rsidRDefault="002F2486" w:rsidP="002F2486">
      <w:pPr>
        <w:pStyle w:val="ListParagraph"/>
        <w:numPr>
          <w:ilvl w:val="0"/>
          <w:numId w:val="18"/>
        </w:numPr>
        <w:rPr>
          <w:rFonts w:ascii="Arial" w:hAnsi="Arial" w:cs="Arial"/>
        </w:rPr>
      </w:pPr>
      <w:r w:rsidRPr="004F6790">
        <w:rPr>
          <w:rFonts w:ascii="Arial" w:hAnsi="Arial" w:cs="Arial"/>
        </w:rPr>
        <w:t>Is there existing institutional capacity to expand program offerings?  Where are students currently being served, including educational centers, regional and main campuses, and alternative delivery systems?</w:t>
      </w:r>
    </w:p>
    <w:p w:rsidR="002F2486" w:rsidRPr="004F6790" w:rsidRDefault="002F2486" w:rsidP="002F2486">
      <w:pPr>
        <w:pStyle w:val="ListParagraph"/>
        <w:numPr>
          <w:ilvl w:val="0"/>
          <w:numId w:val="18"/>
        </w:numPr>
        <w:rPr>
          <w:rFonts w:ascii="Arial" w:hAnsi="Arial" w:cs="Arial"/>
        </w:rPr>
      </w:pPr>
      <w:r w:rsidRPr="004F6790">
        <w:rPr>
          <w:rFonts w:ascii="Arial" w:hAnsi="Arial" w:cs="Arial"/>
        </w:rPr>
        <w:t>What is the workforce demand for new programs or expansion of existing programs, projected to the year 2025?</w:t>
      </w:r>
    </w:p>
    <w:p w:rsidR="002F2486" w:rsidRPr="00221475" w:rsidRDefault="002F2486" w:rsidP="002F2486">
      <w:pPr>
        <w:pStyle w:val="ListParagraph"/>
        <w:numPr>
          <w:ilvl w:val="0"/>
          <w:numId w:val="18"/>
        </w:numPr>
        <w:autoSpaceDE w:val="0"/>
        <w:autoSpaceDN w:val="0"/>
        <w:adjustRightInd w:val="0"/>
        <w:spacing w:after="0" w:line="240" w:lineRule="auto"/>
        <w:rPr>
          <w:rFonts w:ascii="Arial" w:hAnsi="Arial" w:cs="Arial"/>
        </w:rPr>
      </w:pPr>
      <w:r w:rsidRPr="00221475">
        <w:rPr>
          <w:rFonts w:ascii="Arial" w:hAnsi="Arial" w:cs="Arial"/>
        </w:rPr>
        <w:lastRenderedPageBreak/>
        <w:t>What is the potential pipeline of students to the year 2025—including high school graduates, transfer students and returning adult students?</w:t>
      </w:r>
      <w:r w:rsidRPr="00221475">
        <w:rPr>
          <w:rFonts w:ascii="BookAntiqua" w:hAnsi="BookAntiqua" w:cs="BookAntiqua"/>
          <w:sz w:val="20"/>
          <w:szCs w:val="20"/>
        </w:rPr>
        <w:t xml:space="preserve"> </w:t>
      </w:r>
      <w:r>
        <w:rPr>
          <w:rFonts w:ascii="BookAntiqua" w:hAnsi="BookAntiqua" w:cs="BookAntiqua"/>
          <w:sz w:val="20"/>
          <w:szCs w:val="20"/>
        </w:rPr>
        <w:t xml:space="preserve"> </w:t>
      </w:r>
      <w:r w:rsidRPr="00221475">
        <w:rPr>
          <w:rFonts w:ascii="Arial" w:hAnsi="Arial" w:cs="Arial"/>
        </w:rPr>
        <w:t>Will the increased demand be evenly distributed around the state or will there be some geographic areas disproportionately impacted?</w:t>
      </w:r>
    </w:p>
    <w:p w:rsidR="002F2486" w:rsidRDefault="002F2486" w:rsidP="002F2486">
      <w:pPr>
        <w:pStyle w:val="ListParagraph"/>
        <w:numPr>
          <w:ilvl w:val="0"/>
          <w:numId w:val="18"/>
        </w:numPr>
        <w:autoSpaceDE w:val="0"/>
        <w:autoSpaceDN w:val="0"/>
        <w:adjustRightInd w:val="0"/>
        <w:spacing w:after="0" w:line="240" w:lineRule="auto"/>
        <w:rPr>
          <w:rFonts w:ascii="Arial" w:hAnsi="Arial" w:cs="Arial"/>
        </w:rPr>
      </w:pPr>
      <w:r w:rsidRPr="00221475">
        <w:rPr>
          <w:rFonts w:ascii="Arial" w:hAnsi="Arial" w:cs="Arial"/>
        </w:rPr>
        <w:t xml:space="preserve">Are there gaps in program delivery?  If so, where are they? </w:t>
      </w:r>
    </w:p>
    <w:p w:rsidR="005F03BC" w:rsidRDefault="005F03BC" w:rsidP="005F03BC">
      <w:pPr>
        <w:pStyle w:val="ListParagraph"/>
        <w:autoSpaceDE w:val="0"/>
        <w:autoSpaceDN w:val="0"/>
        <w:adjustRightInd w:val="0"/>
        <w:spacing w:after="0" w:line="240" w:lineRule="auto"/>
        <w:ind w:left="1080"/>
        <w:rPr>
          <w:rFonts w:ascii="Arial" w:hAnsi="Arial" w:cs="Arial"/>
        </w:rPr>
      </w:pPr>
    </w:p>
    <w:p w:rsidR="00CC4879" w:rsidRDefault="00CC4879" w:rsidP="00CC4879">
      <w:pPr>
        <w:pStyle w:val="Default"/>
        <w:rPr>
          <w:rFonts w:ascii="Arial" w:hAnsi="Arial" w:cs="Arial"/>
        </w:rPr>
      </w:pPr>
      <w:r>
        <w:rPr>
          <w:rFonts w:ascii="Arial" w:hAnsi="Arial" w:cs="Arial"/>
        </w:rPr>
        <w:t xml:space="preserve">To make this happen, </w:t>
      </w:r>
      <w:r w:rsidR="00D971DB">
        <w:rPr>
          <w:rFonts w:ascii="Arial" w:hAnsi="Arial" w:cs="Arial"/>
        </w:rPr>
        <w:t xml:space="preserve">the Commission will need to </w:t>
      </w:r>
      <w:r>
        <w:rPr>
          <w:rFonts w:ascii="Arial" w:hAnsi="Arial" w:cs="Arial"/>
        </w:rPr>
        <w:t>form two staff teams that will work together to help accomplish the Commission’s goals. The first team will be composed of researchers from higher education and workforce agencies. This means, we will need the commitment of the Board of Governors, the Department of Education and specifically the Florida College System, the Department of Economic Opport</w:t>
      </w:r>
      <w:r w:rsidR="00B400E3">
        <w:rPr>
          <w:rFonts w:ascii="Arial" w:hAnsi="Arial" w:cs="Arial"/>
        </w:rPr>
        <w:t xml:space="preserve">unity, the Independent Colleges and Universities </w:t>
      </w:r>
      <w:r>
        <w:rPr>
          <w:rFonts w:ascii="Arial" w:hAnsi="Arial" w:cs="Arial"/>
        </w:rPr>
        <w:t xml:space="preserve">of Florida, and the Commission on Independent Education to make available the necessary data and staff resources. Together, this team will tap into existing databases to conduct the actual “gap analysis” to determine how we can best meet the state’s workforce needs.  </w:t>
      </w:r>
    </w:p>
    <w:p w:rsidR="00CC4879" w:rsidRDefault="00CC4879" w:rsidP="00CC4879">
      <w:pPr>
        <w:pStyle w:val="Default"/>
        <w:rPr>
          <w:rFonts w:ascii="Arial" w:hAnsi="Arial" w:cs="Arial"/>
        </w:rPr>
      </w:pPr>
      <w:r>
        <w:rPr>
          <w:rFonts w:ascii="Arial" w:hAnsi="Arial" w:cs="Arial"/>
        </w:rPr>
        <w:t> </w:t>
      </w:r>
    </w:p>
    <w:p w:rsidR="00CC4879" w:rsidRDefault="00CC4879" w:rsidP="00CC4879">
      <w:pPr>
        <w:pStyle w:val="Default"/>
        <w:rPr>
          <w:rFonts w:ascii="Arial" w:hAnsi="Arial" w:cs="Arial"/>
        </w:rPr>
      </w:pPr>
      <w:r>
        <w:rPr>
          <w:rFonts w:ascii="Arial" w:hAnsi="Arial" w:cs="Arial"/>
        </w:rPr>
        <w:t>The second team of senior policy staff will review the research that the data team assembles to see where the system is already functioning optimally—and where progress still needs to be made. The Commission will work with senior policy staff to review the data and analyses and develop a plan address the gaps in the system.</w:t>
      </w:r>
    </w:p>
    <w:p w:rsidR="00FD4A01" w:rsidRPr="004F6790" w:rsidRDefault="00FD4A01" w:rsidP="00FD4A01">
      <w:pPr>
        <w:autoSpaceDE w:val="0"/>
        <w:autoSpaceDN w:val="0"/>
        <w:adjustRightInd w:val="0"/>
        <w:spacing w:after="0" w:line="240" w:lineRule="auto"/>
        <w:rPr>
          <w:rFonts w:ascii="Arial" w:hAnsi="Arial" w:cs="Arial"/>
        </w:rPr>
      </w:pPr>
    </w:p>
    <w:p w:rsidR="00D971DB" w:rsidRDefault="001A4B4E" w:rsidP="00D971DB">
      <w:pPr>
        <w:pStyle w:val="Default"/>
        <w:rPr>
          <w:rFonts w:ascii="Arial" w:hAnsi="Arial" w:cs="Arial"/>
        </w:rPr>
      </w:pPr>
      <w:r w:rsidRPr="004F6790">
        <w:rPr>
          <w:rFonts w:ascii="Arial" w:hAnsi="Arial" w:cs="Arial"/>
          <w:u w:val="single"/>
        </w:rPr>
        <w:t>Expected Outcomes</w:t>
      </w:r>
      <w:r w:rsidR="00D971DB" w:rsidRPr="00D971DB">
        <w:rPr>
          <w:rFonts w:ascii="Arial" w:hAnsi="Arial" w:cs="Arial"/>
        </w:rPr>
        <w:t xml:space="preserve"> </w:t>
      </w:r>
    </w:p>
    <w:p w:rsidR="00D971DB" w:rsidRPr="00D971DB" w:rsidRDefault="00D971DB" w:rsidP="00D971DB">
      <w:pPr>
        <w:pStyle w:val="Default"/>
        <w:rPr>
          <w:rFonts w:ascii="BookAntiqua" w:hAnsi="BookAntiqua" w:cs="BookAntiqua"/>
        </w:rPr>
      </w:pPr>
      <w:r w:rsidRPr="00D971DB">
        <w:rPr>
          <w:rFonts w:ascii="Arial" w:hAnsi="Arial" w:cs="Arial"/>
        </w:rPr>
        <w:t>The Commission’s recommendations will ultimately be provided to the appropriate governing bodies, including the Legislature, to determine how best to consider and implement the recommendations that affect their areas.  The recommendations are likely to provide strong direction for:</w:t>
      </w:r>
    </w:p>
    <w:p w:rsidR="001A4B4E" w:rsidRPr="00D971DB" w:rsidRDefault="001A4B4E" w:rsidP="001A4B4E">
      <w:pPr>
        <w:pStyle w:val="ListParagraph"/>
        <w:ind w:left="0"/>
        <w:rPr>
          <w:rFonts w:ascii="Arial" w:hAnsi="Arial" w:cs="Arial"/>
          <w:sz w:val="24"/>
          <w:szCs w:val="24"/>
          <w:u w:val="single"/>
        </w:rPr>
      </w:pPr>
    </w:p>
    <w:p w:rsidR="001A4B4E" w:rsidRPr="00D971DB" w:rsidRDefault="00D971DB" w:rsidP="006F202E">
      <w:pPr>
        <w:pStyle w:val="ListParagraph"/>
        <w:numPr>
          <w:ilvl w:val="0"/>
          <w:numId w:val="2"/>
        </w:numPr>
        <w:rPr>
          <w:rFonts w:ascii="Arial" w:hAnsi="Arial" w:cs="Arial"/>
          <w:sz w:val="24"/>
          <w:szCs w:val="24"/>
        </w:rPr>
      </w:pPr>
      <w:r w:rsidRPr="00D971DB">
        <w:rPr>
          <w:rFonts w:ascii="Arial" w:hAnsi="Arial" w:cs="Arial"/>
          <w:sz w:val="24"/>
          <w:szCs w:val="24"/>
        </w:rPr>
        <w:t>a</w:t>
      </w:r>
      <w:r w:rsidR="006F202E" w:rsidRPr="00D971DB">
        <w:rPr>
          <w:rFonts w:ascii="Arial" w:hAnsi="Arial" w:cs="Arial"/>
          <w:sz w:val="24"/>
          <w:szCs w:val="24"/>
        </w:rPr>
        <w:t xml:space="preserve"> more f</w:t>
      </w:r>
      <w:r w:rsidR="001A4B4E" w:rsidRPr="00D971DB">
        <w:rPr>
          <w:rFonts w:ascii="Arial" w:hAnsi="Arial" w:cs="Arial"/>
          <w:sz w:val="24"/>
          <w:szCs w:val="24"/>
        </w:rPr>
        <w:t>ocus</w:t>
      </w:r>
      <w:r w:rsidR="006F202E" w:rsidRPr="00D971DB">
        <w:rPr>
          <w:rFonts w:ascii="Arial" w:hAnsi="Arial" w:cs="Arial"/>
          <w:sz w:val="24"/>
          <w:szCs w:val="24"/>
        </w:rPr>
        <w:t xml:space="preserve">ed </w:t>
      </w:r>
      <w:r w:rsidR="001A4B4E" w:rsidRPr="00D971DB">
        <w:rPr>
          <w:rFonts w:ascii="Arial" w:hAnsi="Arial" w:cs="Arial"/>
          <w:sz w:val="24"/>
          <w:szCs w:val="24"/>
        </w:rPr>
        <w:t xml:space="preserve">delivery system for higher education </w:t>
      </w:r>
      <w:r w:rsidR="006F202E" w:rsidRPr="00D971DB">
        <w:rPr>
          <w:rFonts w:ascii="Arial" w:hAnsi="Arial" w:cs="Arial"/>
          <w:sz w:val="24"/>
          <w:szCs w:val="24"/>
        </w:rPr>
        <w:t xml:space="preserve">that </w:t>
      </w:r>
      <w:r w:rsidR="004F6790" w:rsidRPr="00D971DB">
        <w:rPr>
          <w:rFonts w:ascii="Arial" w:hAnsi="Arial" w:cs="Arial"/>
          <w:sz w:val="24"/>
          <w:szCs w:val="24"/>
        </w:rPr>
        <w:t xml:space="preserve">has identified </w:t>
      </w:r>
      <w:r w:rsidR="001A4B4E" w:rsidRPr="00D971DB">
        <w:rPr>
          <w:rFonts w:ascii="Arial" w:hAnsi="Arial" w:cs="Arial"/>
          <w:sz w:val="24"/>
          <w:szCs w:val="24"/>
        </w:rPr>
        <w:t xml:space="preserve">where gaps exist in current program offerings </w:t>
      </w:r>
      <w:r w:rsidR="004F6790" w:rsidRPr="00D971DB">
        <w:rPr>
          <w:rFonts w:ascii="Arial" w:hAnsi="Arial" w:cs="Arial"/>
          <w:sz w:val="24"/>
          <w:szCs w:val="24"/>
        </w:rPr>
        <w:t xml:space="preserve">and </w:t>
      </w:r>
      <w:r w:rsidR="001A4B4E" w:rsidRPr="00D971DB">
        <w:rPr>
          <w:rFonts w:ascii="Arial" w:hAnsi="Arial" w:cs="Arial"/>
          <w:sz w:val="24"/>
          <w:szCs w:val="24"/>
        </w:rPr>
        <w:t xml:space="preserve">that </w:t>
      </w:r>
      <w:r w:rsidR="004F6790" w:rsidRPr="00D971DB">
        <w:rPr>
          <w:rFonts w:ascii="Arial" w:hAnsi="Arial" w:cs="Arial"/>
          <w:sz w:val="24"/>
          <w:szCs w:val="24"/>
        </w:rPr>
        <w:t xml:space="preserve">is </w:t>
      </w:r>
      <w:r w:rsidR="001A4B4E" w:rsidRPr="00D971DB">
        <w:rPr>
          <w:rFonts w:ascii="Arial" w:hAnsi="Arial" w:cs="Arial"/>
          <w:sz w:val="24"/>
          <w:szCs w:val="24"/>
        </w:rPr>
        <w:t>align</w:t>
      </w:r>
      <w:r w:rsidR="004F6790" w:rsidRPr="00D971DB">
        <w:rPr>
          <w:rFonts w:ascii="Arial" w:hAnsi="Arial" w:cs="Arial"/>
          <w:sz w:val="24"/>
          <w:szCs w:val="24"/>
        </w:rPr>
        <w:t xml:space="preserve">ed </w:t>
      </w:r>
      <w:r w:rsidR="001A4B4E" w:rsidRPr="00D971DB">
        <w:rPr>
          <w:rFonts w:ascii="Arial" w:hAnsi="Arial" w:cs="Arial"/>
          <w:sz w:val="24"/>
          <w:szCs w:val="24"/>
        </w:rPr>
        <w:t>with the state’</w:t>
      </w:r>
      <w:r w:rsidR="006F202E" w:rsidRPr="00D971DB">
        <w:rPr>
          <w:rFonts w:ascii="Arial" w:hAnsi="Arial" w:cs="Arial"/>
          <w:sz w:val="24"/>
          <w:szCs w:val="24"/>
        </w:rPr>
        <w:t>s workforce needs</w:t>
      </w:r>
      <w:r w:rsidR="001A4B4E" w:rsidRPr="00D971DB">
        <w:rPr>
          <w:rFonts w:ascii="Arial" w:hAnsi="Arial" w:cs="Arial"/>
          <w:sz w:val="24"/>
          <w:szCs w:val="24"/>
        </w:rPr>
        <w:t xml:space="preserve">.  </w:t>
      </w:r>
    </w:p>
    <w:p w:rsidR="001A4B4E" w:rsidRPr="00D971DB" w:rsidRDefault="00D971DB" w:rsidP="006F202E">
      <w:pPr>
        <w:pStyle w:val="ListParagraph"/>
        <w:numPr>
          <w:ilvl w:val="0"/>
          <w:numId w:val="2"/>
        </w:numPr>
        <w:rPr>
          <w:rFonts w:ascii="Arial" w:hAnsi="Arial" w:cs="Arial"/>
          <w:sz w:val="24"/>
          <w:szCs w:val="24"/>
        </w:rPr>
      </w:pPr>
      <w:r w:rsidRPr="00D971DB">
        <w:rPr>
          <w:rFonts w:ascii="Arial" w:hAnsi="Arial" w:cs="Arial"/>
          <w:sz w:val="24"/>
          <w:szCs w:val="24"/>
        </w:rPr>
        <w:t>o</w:t>
      </w:r>
      <w:r w:rsidR="004F6790" w:rsidRPr="00D971DB">
        <w:rPr>
          <w:rFonts w:ascii="Arial" w:hAnsi="Arial" w:cs="Arial"/>
          <w:sz w:val="24"/>
          <w:szCs w:val="24"/>
        </w:rPr>
        <w:t xml:space="preserve">pportunities to optimize </w:t>
      </w:r>
      <w:r w:rsidR="006F202E" w:rsidRPr="00D971DB">
        <w:rPr>
          <w:rFonts w:ascii="Arial" w:hAnsi="Arial" w:cs="Arial"/>
          <w:sz w:val="24"/>
          <w:szCs w:val="24"/>
        </w:rPr>
        <w:t>existing institutional capacity.</w:t>
      </w:r>
    </w:p>
    <w:p w:rsidR="006F202E" w:rsidRPr="00D971DB" w:rsidRDefault="00D971DB" w:rsidP="006F202E">
      <w:pPr>
        <w:pStyle w:val="ListParagraph"/>
        <w:numPr>
          <w:ilvl w:val="0"/>
          <w:numId w:val="2"/>
        </w:numPr>
        <w:rPr>
          <w:rFonts w:ascii="Arial" w:hAnsi="Arial" w:cs="Arial"/>
          <w:sz w:val="24"/>
          <w:szCs w:val="24"/>
        </w:rPr>
      </w:pPr>
      <w:r w:rsidRPr="00D971DB">
        <w:rPr>
          <w:rFonts w:ascii="Arial" w:hAnsi="Arial" w:cs="Arial"/>
          <w:sz w:val="24"/>
          <w:szCs w:val="24"/>
        </w:rPr>
        <w:t>i</w:t>
      </w:r>
      <w:r w:rsidR="004F6790" w:rsidRPr="00D971DB">
        <w:rPr>
          <w:rFonts w:ascii="Arial" w:hAnsi="Arial" w:cs="Arial"/>
          <w:sz w:val="24"/>
          <w:szCs w:val="24"/>
        </w:rPr>
        <w:t xml:space="preserve">dentification of where </w:t>
      </w:r>
      <w:r w:rsidR="006F202E" w:rsidRPr="00D971DB">
        <w:rPr>
          <w:rFonts w:ascii="Arial" w:hAnsi="Arial" w:cs="Arial"/>
          <w:sz w:val="24"/>
          <w:szCs w:val="24"/>
        </w:rPr>
        <w:t>new program</w:t>
      </w:r>
      <w:r w:rsidR="004F6790" w:rsidRPr="00D971DB">
        <w:rPr>
          <w:rFonts w:ascii="Arial" w:hAnsi="Arial" w:cs="Arial"/>
          <w:sz w:val="24"/>
          <w:szCs w:val="24"/>
        </w:rPr>
        <w:t>s are needed or existing programs should be expanded, includi</w:t>
      </w:r>
      <w:r w:rsidR="006F202E" w:rsidRPr="00D971DB">
        <w:rPr>
          <w:rFonts w:ascii="Arial" w:hAnsi="Arial" w:cs="Arial"/>
          <w:sz w:val="24"/>
          <w:szCs w:val="24"/>
        </w:rPr>
        <w:t>ng eLearning an</w:t>
      </w:r>
      <w:r w:rsidR="004F6790" w:rsidRPr="00D971DB">
        <w:rPr>
          <w:rFonts w:ascii="Arial" w:hAnsi="Arial" w:cs="Arial"/>
          <w:sz w:val="24"/>
          <w:szCs w:val="24"/>
        </w:rPr>
        <w:t>d alternative delivery programs</w:t>
      </w:r>
      <w:r w:rsidR="006F202E" w:rsidRPr="00D971DB">
        <w:rPr>
          <w:rFonts w:ascii="Arial" w:hAnsi="Arial" w:cs="Arial"/>
          <w:sz w:val="24"/>
          <w:szCs w:val="24"/>
        </w:rPr>
        <w:t>.</w:t>
      </w:r>
    </w:p>
    <w:p w:rsidR="00BD6A67" w:rsidRPr="00D971DB" w:rsidRDefault="00D971DB" w:rsidP="006F202E">
      <w:pPr>
        <w:pStyle w:val="ListParagraph"/>
        <w:numPr>
          <w:ilvl w:val="0"/>
          <w:numId w:val="2"/>
        </w:numPr>
        <w:rPr>
          <w:rFonts w:ascii="Arial" w:hAnsi="Arial" w:cs="Arial"/>
          <w:sz w:val="24"/>
          <w:szCs w:val="24"/>
        </w:rPr>
      </w:pPr>
      <w:r w:rsidRPr="00D971DB">
        <w:rPr>
          <w:rFonts w:ascii="Arial" w:hAnsi="Arial" w:cs="Arial"/>
          <w:sz w:val="24"/>
          <w:szCs w:val="24"/>
        </w:rPr>
        <w:t>a</w:t>
      </w:r>
      <w:r w:rsidR="00BD6A67" w:rsidRPr="00D971DB">
        <w:rPr>
          <w:rFonts w:ascii="Arial" w:hAnsi="Arial" w:cs="Arial"/>
          <w:sz w:val="24"/>
          <w:szCs w:val="24"/>
        </w:rPr>
        <w:t xml:space="preserve"> set of guiding principles for system expansion or optimization.</w:t>
      </w:r>
    </w:p>
    <w:p w:rsidR="00BD6A67" w:rsidRPr="00D971DB" w:rsidRDefault="00D971DB" w:rsidP="006F202E">
      <w:pPr>
        <w:pStyle w:val="ListParagraph"/>
        <w:numPr>
          <w:ilvl w:val="0"/>
          <w:numId w:val="2"/>
        </w:numPr>
        <w:rPr>
          <w:rFonts w:ascii="Arial" w:hAnsi="Arial" w:cs="Arial"/>
          <w:sz w:val="24"/>
          <w:szCs w:val="24"/>
        </w:rPr>
      </w:pPr>
      <w:r w:rsidRPr="00D971DB">
        <w:rPr>
          <w:rFonts w:ascii="Arial" w:hAnsi="Arial" w:cs="Arial"/>
          <w:sz w:val="24"/>
          <w:szCs w:val="24"/>
        </w:rPr>
        <w:t>r</w:t>
      </w:r>
      <w:r w:rsidR="00BD6A67" w:rsidRPr="00D971DB">
        <w:rPr>
          <w:rFonts w:ascii="Arial" w:hAnsi="Arial" w:cs="Arial"/>
          <w:sz w:val="24"/>
          <w:szCs w:val="24"/>
        </w:rPr>
        <w:t>ecommendations to address gaps in both undergraduate and graduate degree production.</w:t>
      </w:r>
    </w:p>
    <w:p w:rsidR="00BD6A67" w:rsidRPr="00D971DB" w:rsidRDefault="00D971DB" w:rsidP="006F202E">
      <w:pPr>
        <w:pStyle w:val="ListParagraph"/>
        <w:numPr>
          <w:ilvl w:val="0"/>
          <w:numId w:val="2"/>
        </w:numPr>
        <w:rPr>
          <w:rFonts w:ascii="Arial" w:hAnsi="Arial" w:cs="Arial"/>
          <w:sz w:val="24"/>
          <w:szCs w:val="24"/>
        </w:rPr>
      </w:pPr>
      <w:r w:rsidRPr="00D971DB">
        <w:rPr>
          <w:rFonts w:ascii="Arial" w:hAnsi="Arial" w:cs="Arial"/>
          <w:sz w:val="24"/>
          <w:szCs w:val="24"/>
        </w:rPr>
        <w:t>p</w:t>
      </w:r>
      <w:r w:rsidR="00BD6A67" w:rsidRPr="00D971DB">
        <w:rPr>
          <w:rFonts w:ascii="Arial" w:hAnsi="Arial" w:cs="Arial"/>
          <w:sz w:val="24"/>
          <w:szCs w:val="24"/>
        </w:rPr>
        <w:t>ossible recommendations for near-term as well as longer-term best options for expanding degree attainment.</w:t>
      </w:r>
    </w:p>
    <w:p w:rsidR="00405165" w:rsidRDefault="00D971DB" w:rsidP="0039720E">
      <w:pPr>
        <w:spacing w:after="0" w:line="240" w:lineRule="auto"/>
        <w:rPr>
          <w:rFonts w:ascii="Arial" w:hAnsi="Arial" w:cs="Arial"/>
          <w:u w:val="single"/>
        </w:rPr>
      </w:pPr>
      <w:r>
        <w:rPr>
          <w:rFonts w:ascii="Arial" w:hAnsi="Arial" w:cs="Arial"/>
          <w:u w:val="single"/>
        </w:rPr>
        <w:t>Commission Members and Contributing Partners</w:t>
      </w:r>
    </w:p>
    <w:p w:rsidR="00D971DB" w:rsidRDefault="00D971DB" w:rsidP="0039720E">
      <w:pPr>
        <w:spacing w:after="0" w:line="240" w:lineRule="auto"/>
        <w:rPr>
          <w:rFonts w:ascii="Arial" w:hAnsi="Arial" w:cs="Arial"/>
          <w:u w:val="single"/>
        </w:rPr>
      </w:pPr>
    </w:p>
    <w:p w:rsidR="00D971DB" w:rsidRDefault="00D971DB" w:rsidP="00D971D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following persons will serve as members of the Commission:  </w:t>
      </w:r>
    </w:p>
    <w:p w:rsidR="00D971DB" w:rsidRDefault="00D971DB" w:rsidP="00D971DB">
      <w:pPr>
        <w:pStyle w:val="ListParagraph"/>
        <w:numPr>
          <w:ilvl w:val="0"/>
          <w:numId w:val="19"/>
        </w:numPr>
        <w:autoSpaceDE w:val="0"/>
        <w:autoSpaceDN w:val="0"/>
        <w:adjustRightInd w:val="0"/>
        <w:spacing w:after="0" w:line="240" w:lineRule="auto"/>
        <w:rPr>
          <w:rFonts w:ascii="Arial" w:hAnsi="Arial" w:cs="Arial"/>
          <w:sz w:val="24"/>
          <w:szCs w:val="24"/>
        </w:rPr>
      </w:pPr>
      <w:r w:rsidRPr="00D971DB">
        <w:rPr>
          <w:rFonts w:ascii="Arial" w:hAnsi="Arial" w:cs="Arial"/>
          <w:sz w:val="24"/>
          <w:szCs w:val="24"/>
        </w:rPr>
        <w:t xml:space="preserve">Board of Governors charter member and former Board Chair Ava L. Parker will serve as chair of this Commission. </w:t>
      </w:r>
    </w:p>
    <w:p w:rsidR="00D971DB" w:rsidRPr="00D971DB" w:rsidRDefault="00D971DB" w:rsidP="00D971DB">
      <w:pPr>
        <w:pStyle w:val="ListParagraph"/>
        <w:numPr>
          <w:ilvl w:val="0"/>
          <w:numId w:val="19"/>
        </w:numPr>
        <w:autoSpaceDE w:val="0"/>
        <w:autoSpaceDN w:val="0"/>
        <w:adjustRightInd w:val="0"/>
        <w:spacing w:after="0" w:line="240" w:lineRule="auto"/>
        <w:rPr>
          <w:rFonts w:ascii="Arial" w:hAnsi="Arial" w:cs="Arial"/>
          <w:sz w:val="24"/>
          <w:szCs w:val="24"/>
        </w:rPr>
      </w:pPr>
      <w:r>
        <w:rPr>
          <w:rFonts w:ascii="Arial" w:hAnsi="Arial" w:cs="Arial"/>
          <w:sz w:val="24"/>
          <w:szCs w:val="24"/>
        </w:rPr>
        <w:t>Dean Colson - Chair, Board of Governors</w:t>
      </w:r>
    </w:p>
    <w:p w:rsidR="00D971DB" w:rsidRPr="00D971DB" w:rsidRDefault="00D971DB" w:rsidP="00D971DB">
      <w:pPr>
        <w:pStyle w:val="ListParagraph"/>
        <w:numPr>
          <w:ilvl w:val="0"/>
          <w:numId w:val="19"/>
        </w:numPr>
        <w:autoSpaceDE w:val="0"/>
        <w:autoSpaceDN w:val="0"/>
        <w:adjustRightInd w:val="0"/>
        <w:spacing w:after="0" w:line="240" w:lineRule="auto"/>
        <w:rPr>
          <w:rFonts w:ascii="Arial" w:hAnsi="Arial" w:cs="Arial"/>
          <w:sz w:val="24"/>
          <w:szCs w:val="24"/>
        </w:rPr>
      </w:pPr>
      <w:r w:rsidRPr="00D971DB">
        <w:rPr>
          <w:rFonts w:ascii="Arial" w:hAnsi="Arial" w:cs="Arial"/>
          <w:sz w:val="24"/>
          <w:szCs w:val="24"/>
        </w:rPr>
        <w:lastRenderedPageBreak/>
        <w:t>Kathleen Shanahan of Tampa – Chair, State Board of Education</w:t>
      </w:r>
    </w:p>
    <w:p w:rsidR="00D971DB" w:rsidRPr="00D971DB" w:rsidRDefault="00D971DB" w:rsidP="00D971DB">
      <w:pPr>
        <w:pStyle w:val="ListParagraph"/>
        <w:numPr>
          <w:ilvl w:val="0"/>
          <w:numId w:val="19"/>
        </w:numPr>
        <w:autoSpaceDE w:val="0"/>
        <w:autoSpaceDN w:val="0"/>
        <w:adjustRightInd w:val="0"/>
        <w:spacing w:after="0" w:line="240" w:lineRule="auto"/>
        <w:rPr>
          <w:rFonts w:ascii="Arial" w:hAnsi="Arial" w:cs="Arial"/>
          <w:sz w:val="24"/>
          <w:szCs w:val="24"/>
        </w:rPr>
      </w:pPr>
      <w:r w:rsidRPr="00D971DB">
        <w:rPr>
          <w:rFonts w:ascii="Arial" w:hAnsi="Arial" w:cs="Arial"/>
          <w:sz w:val="24"/>
          <w:szCs w:val="24"/>
        </w:rPr>
        <w:t>Rep. William L. “Bill” Proctor of St. Augustine – Member, Florida House of Representatives</w:t>
      </w:r>
    </w:p>
    <w:p w:rsidR="00D971DB" w:rsidRPr="00D971DB" w:rsidRDefault="00D971DB" w:rsidP="00D971DB">
      <w:pPr>
        <w:pStyle w:val="ListParagraph"/>
        <w:numPr>
          <w:ilvl w:val="0"/>
          <w:numId w:val="19"/>
        </w:numPr>
        <w:autoSpaceDE w:val="0"/>
        <w:autoSpaceDN w:val="0"/>
        <w:adjustRightInd w:val="0"/>
        <w:spacing w:after="0" w:line="240" w:lineRule="auto"/>
        <w:rPr>
          <w:rFonts w:ascii="Arial" w:hAnsi="Arial" w:cs="Arial"/>
          <w:sz w:val="24"/>
          <w:szCs w:val="24"/>
        </w:rPr>
      </w:pPr>
      <w:r w:rsidRPr="00D971DB">
        <w:rPr>
          <w:rFonts w:ascii="Arial" w:hAnsi="Arial" w:cs="Arial"/>
          <w:sz w:val="24"/>
          <w:szCs w:val="24"/>
        </w:rPr>
        <w:t>Thomas G. Kuntz of Orlando – Member, Board of Governors, and Geographic Banking Executive, SunTrust Banks</w:t>
      </w:r>
    </w:p>
    <w:p w:rsidR="00D971DB" w:rsidRPr="00D971DB" w:rsidRDefault="00D971DB" w:rsidP="00D971DB">
      <w:pPr>
        <w:pStyle w:val="ListParagraph"/>
        <w:numPr>
          <w:ilvl w:val="0"/>
          <w:numId w:val="19"/>
        </w:numPr>
        <w:autoSpaceDE w:val="0"/>
        <w:autoSpaceDN w:val="0"/>
        <w:adjustRightInd w:val="0"/>
        <w:spacing w:after="0" w:line="240" w:lineRule="auto"/>
        <w:rPr>
          <w:rFonts w:ascii="Arial" w:hAnsi="Arial" w:cs="Arial"/>
          <w:sz w:val="24"/>
          <w:szCs w:val="24"/>
        </w:rPr>
      </w:pPr>
      <w:r w:rsidRPr="00D971DB">
        <w:rPr>
          <w:rFonts w:ascii="Arial" w:hAnsi="Arial" w:cs="Arial"/>
          <w:sz w:val="24"/>
          <w:szCs w:val="24"/>
        </w:rPr>
        <w:t>Marshall M. Criser, III of Miami – Co-Chair, Higher Education Coordinating Council; Vice Chair,</w:t>
      </w:r>
    </w:p>
    <w:p w:rsidR="00D971DB" w:rsidRPr="00D971DB" w:rsidRDefault="00D971DB" w:rsidP="00D971DB">
      <w:pPr>
        <w:pStyle w:val="ListParagraph"/>
        <w:numPr>
          <w:ilvl w:val="0"/>
          <w:numId w:val="19"/>
        </w:numPr>
        <w:autoSpaceDE w:val="0"/>
        <w:autoSpaceDN w:val="0"/>
        <w:adjustRightInd w:val="0"/>
        <w:spacing w:after="0" w:line="240" w:lineRule="auto"/>
        <w:rPr>
          <w:rFonts w:ascii="Arial" w:hAnsi="Arial" w:cs="Arial"/>
          <w:sz w:val="24"/>
          <w:szCs w:val="24"/>
        </w:rPr>
      </w:pPr>
      <w:r w:rsidRPr="00D971DB">
        <w:rPr>
          <w:rFonts w:ascii="Arial" w:hAnsi="Arial" w:cs="Arial"/>
          <w:sz w:val="24"/>
          <w:szCs w:val="24"/>
        </w:rPr>
        <w:t>University of Florida Board of Trustees; President, AT&amp;T Florida</w:t>
      </w:r>
    </w:p>
    <w:p w:rsidR="00D971DB" w:rsidRPr="00D971DB" w:rsidRDefault="00D971DB" w:rsidP="00D971DB">
      <w:pPr>
        <w:pStyle w:val="ListParagraph"/>
        <w:numPr>
          <w:ilvl w:val="0"/>
          <w:numId w:val="19"/>
        </w:numPr>
        <w:spacing w:after="0" w:line="240" w:lineRule="auto"/>
        <w:rPr>
          <w:rFonts w:ascii="Arial" w:hAnsi="Arial" w:cs="Arial"/>
          <w:i/>
          <w:sz w:val="24"/>
          <w:szCs w:val="24"/>
        </w:rPr>
      </w:pPr>
      <w:r w:rsidRPr="00D971DB">
        <w:rPr>
          <w:rFonts w:ascii="Arial" w:hAnsi="Arial" w:cs="Arial"/>
          <w:sz w:val="24"/>
          <w:szCs w:val="24"/>
        </w:rPr>
        <w:t>Susan Pareigis of Tampa – President, Florida Council of 100</w:t>
      </w:r>
    </w:p>
    <w:p w:rsidR="00D971DB" w:rsidRDefault="00D971DB" w:rsidP="00D971DB">
      <w:pPr>
        <w:spacing w:after="0" w:line="240" w:lineRule="auto"/>
        <w:ind w:left="360"/>
        <w:rPr>
          <w:rFonts w:ascii="Arial" w:hAnsi="Arial" w:cs="Arial"/>
          <w:i/>
          <w:sz w:val="24"/>
          <w:szCs w:val="24"/>
        </w:rPr>
      </w:pPr>
    </w:p>
    <w:p w:rsidR="00D971DB" w:rsidRDefault="00D971DB" w:rsidP="00D971DB">
      <w:pPr>
        <w:spacing w:after="0" w:line="240" w:lineRule="auto"/>
        <w:rPr>
          <w:rFonts w:ascii="Arial" w:hAnsi="Arial" w:cs="Arial"/>
          <w:sz w:val="24"/>
          <w:szCs w:val="24"/>
        </w:rPr>
      </w:pPr>
      <w:r>
        <w:rPr>
          <w:rFonts w:ascii="Arial" w:hAnsi="Arial" w:cs="Arial"/>
          <w:sz w:val="24"/>
          <w:szCs w:val="24"/>
        </w:rPr>
        <w:t>In addition to Commission members, the following agencies and offices will be asked to</w:t>
      </w:r>
      <w:r w:rsidR="00405165" w:rsidRPr="00D971DB">
        <w:rPr>
          <w:rFonts w:ascii="Arial" w:hAnsi="Arial" w:cs="Arial"/>
          <w:i/>
          <w:sz w:val="24"/>
          <w:szCs w:val="24"/>
        </w:rPr>
        <w:t xml:space="preserve"> </w:t>
      </w:r>
      <w:r>
        <w:rPr>
          <w:rFonts w:ascii="Arial" w:hAnsi="Arial" w:cs="Arial"/>
          <w:sz w:val="24"/>
          <w:szCs w:val="24"/>
        </w:rPr>
        <w:t xml:space="preserve">participate in the development of the recommendations by nominating </w:t>
      </w:r>
      <w:r w:rsidR="00405165" w:rsidRPr="00D971DB">
        <w:rPr>
          <w:rFonts w:ascii="Arial" w:hAnsi="Arial" w:cs="Arial"/>
          <w:sz w:val="24"/>
          <w:szCs w:val="24"/>
        </w:rPr>
        <w:t xml:space="preserve">a researcher </w:t>
      </w:r>
      <w:r>
        <w:rPr>
          <w:rFonts w:ascii="Arial" w:hAnsi="Arial" w:cs="Arial"/>
          <w:sz w:val="24"/>
          <w:szCs w:val="24"/>
        </w:rPr>
        <w:t xml:space="preserve">and a senior level policy administrator </w:t>
      </w:r>
      <w:r w:rsidR="00405165" w:rsidRPr="00D971DB">
        <w:rPr>
          <w:rFonts w:ascii="Arial" w:hAnsi="Arial" w:cs="Arial"/>
          <w:sz w:val="24"/>
          <w:szCs w:val="24"/>
        </w:rPr>
        <w:t xml:space="preserve">to </w:t>
      </w:r>
      <w:r>
        <w:rPr>
          <w:rFonts w:ascii="Arial" w:hAnsi="Arial" w:cs="Arial"/>
          <w:sz w:val="24"/>
          <w:szCs w:val="24"/>
        </w:rPr>
        <w:t xml:space="preserve">complete the necessary work on which to base the Commission’s recommendations:  </w:t>
      </w:r>
    </w:p>
    <w:p w:rsidR="00D971DB" w:rsidRDefault="00D971DB" w:rsidP="00D971DB">
      <w:pPr>
        <w:spacing w:after="0" w:line="240" w:lineRule="auto"/>
        <w:rPr>
          <w:rFonts w:ascii="Arial" w:hAnsi="Arial" w:cs="Arial"/>
          <w:sz w:val="24"/>
          <w:szCs w:val="24"/>
        </w:rPr>
      </w:pPr>
    </w:p>
    <w:p w:rsidR="00405165" w:rsidRPr="00D971DB" w:rsidRDefault="00D971DB" w:rsidP="00D971DB">
      <w:pPr>
        <w:pStyle w:val="ListParagraph"/>
        <w:numPr>
          <w:ilvl w:val="0"/>
          <w:numId w:val="20"/>
        </w:numPr>
        <w:spacing w:after="0" w:line="240" w:lineRule="auto"/>
        <w:rPr>
          <w:rFonts w:ascii="Arial" w:hAnsi="Arial" w:cs="Arial"/>
        </w:rPr>
      </w:pPr>
      <w:r w:rsidRPr="00D971DB">
        <w:rPr>
          <w:rFonts w:ascii="Arial" w:hAnsi="Arial" w:cs="Arial"/>
        </w:rPr>
        <w:t>The Florida College System, Department of Education</w:t>
      </w:r>
    </w:p>
    <w:p w:rsidR="00D971DB" w:rsidRPr="00D971DB" w:rsidRDefault="00D971DB" w:rsidP="00405165">
      <w:pPr>
        <w:pStyle w:val="ListParagraph"/>
        <w:numPr>
          <w:ilvl w:val="0"/>
          <w:numId w:val="5"/>
        </w:numPr>
        <w:rPr>
          <w:rFonts w:ascii="Arial" w:hAnsi="Arial" w:cs="Arial"/>
        </w:rPr>
      </w:pPr>
      <w:r w:rsidRPr="00D971DB">
        <w:rPr>
          <w:rFonts w:ascii="Arial" w:hAnsi="Arial" w:cs="Arial"/>
        </w:rPr>
        <w:t>The Indep</w:t>
      </w:r>
      <w:r>
        <w:rPr>
          <w:rFonts w:ascii="Arial" w:hAnsi="Arial" w:cs="Arial"/>
        </w:rPr>
        <w:t>en</w:t>
      </w:r>
      <w:r w:rsidRPr="00D971DB">
        <w:rPr>
          <w:rFonts w:ascii="Arial" w:hAnsi="Arial" w:cs="Arial"/>
        </w:rPr>
        <w:t>dent Colleges</w:t>
      </w:r>
      <w:r w:rsidR="00B400E3">
        <w:rPr>
          <w:rFonts w:ascii="Arial" w:hAnsi="Arial" w:cs="Arial"/>
        </w:rPr>
        <w:t xml:space="preserve"> and Universities</w:t>
      </w:r>
      <w:r w:rsidRPr="00D971DB">
        <w:rPr>
          <w:rFonts w:ascii="Arial" w:hAnsi="Arial" w:cs="Arial"/>
        </w:rPr>
        <w:t xml:space="preserve"> of Florida </w:t>
      </w:r>
    </w:p>
    <w:p w:rsidR="00405165" w:rsidRPr="00D971DB" w:rsidRDefault="00D971DB" w:rsidP="00405165">
      <w:pPr>
        <w:pStyle w:val="ListParagraph"/>
        <w:numPr>
          <w:ilvl w:val="0"/>
          <w:numId w:val="5"/>
        </w:numPr>
        <w:rPr>
          <w:rFonts w:ascii="Arial" w:hAnsi="Arial" w:cs="Arial"/>
        </w:rPr>
      </w:pPr>
      <w:r w:rsidRPr="00D971DB">
        <w:rPr>
          <w:rFonts w:ascii="Arial" w:hAnsi="Arial" w:cs="Arial"/>
        </w:rPr>
        <w:t>The Commission on Independent Education</w:t>
      </w:r>
    </w:p>
    <w:p w:rsidR="00405165" w:rsidRPr="00D971DB" w:rsidRDefault="00D971DB" w:rsidP="00405165">
      <w:pPr>
        <w:pStyle w:val="ListParagraph"/>
        <w:numPr>
          <w:ilvl w:val="0"/>
          <w:numId w:val="5"/>
        </w:numPr>
        <w:rPr>
          <w:rFonts w:ascii="Arial" w:hAnsi="Arial" w:cs="Arial"/>
        </w:rPr>
      </w:pPr>
      <w:r w:rsidRPr="00D971DB">
        <w:rPr>
          <w:rFonts w:ascii="Arial" w:hAnsi="Arial" w:cs="Arial"/>
        </w:rPr>
        <w:t xml:space="preserve">The </w:t>
      </w:r>
      <w:r w:rsidR="00405165" w:rsidRPr="00D971DB">
        <w:rPr>
          <w:rFonts w:ascii="Arial" w:hAnsi="Arial" w:cs="Arial"/>
        </w:rPr>
        <w:t>Dep</w:t>
      </w:r>
      <w:r w:rsidRPr="00D971DB">
        <w:rPr>
          <w:rFonts w:ascii="Arial" w:hAnsi="Arial" w:cs="Arial"/>
        </w:rPr>
        <w:t>artment</w:t>
      </w:r>
      <w:r w:rsidR="00405165" w:rsidRPr="00D971DB">
        <w:rPr>
          <w:rFonts w:ascii="Arial" w:hAnsi="Arial" w:cs="Arial"/>
        </w:rPr>
        <w:t xml:space="preserve"> of Economic Opportunity</w:t>
      </w:r>
    </w:p>
    <w:p w:rsidR="00405165" w:rsidRPr="00D971DB" w:rsidRDefault="00D971DB" w:rsidP="00405165">
      <w:pPr>
        <w:pStyle w:val="ListParagraph"/>
        <w:numPr>
          <w:ilvl w:val="0"/>
          <w:numId w:val="5"/>
        </w:numPr>
        <w:rPr>
          <w:rFonts w:ascii="Arial" w:hAnsi="Arial" w:cs="Arial"/>
        </w:rPr>
      </w:pPr>
      <w:r>
        <w:rPr>
          <w:rFonts w:ascii="Arial" w:hAnsi="Arial" w:cs="Arial"/>
        </w:rPr>
        <w:t xml:space="preserve">Other institutional research </w:t>
      </w:r>
      <w:r w:rsidR="00405165" w:rsidRPr="00D971DB">
        <w:rPr>
          <w:rFonts w:ascii="Arial" w:hAnsi="Arial" w:cs="Arial"/>
        </w:rPr>
        <w:t>participants</w:t>
      </w:r>
      <w:r>
        <w:rPr>
          <w:rFonts w:ascii="Arial" w:hAnsi="Arial" w:cs="Arial"/>
        </w:rPr>
        <w:t xml:space="preserve"> from </w:t>
      </w:r>
      <w:r w:rsidR="00405165" w:rsidRPr="00D971DB">
        <w:rPr>
          <w:rFonts w:ascii="Arial" w:hAnsi="Arial" w:cs="Arial"/>
        </w:rPr>
        <w:t>college</w:t>
      </w:r>
      <w:r>
        <w:rPr>
          <w:rFonts w:ascii="Arial" w:hAnsi="Arial" w:cs="Arial"/>
        </w:rPr>
        <w:t>s and universities, as needed.</w:t>
      </w:r>
    </w:p>
    <w:p w:rsidR="0039720E" w:rsidRPr="00D971DB" w:rsidRDefault="0039720E" w:rsidP="0039720E">
      <w:pPr>
        <w:pStyle w:val="ListParagraph"/>
        <w:rPr>
          <w:rFonts w:ascii="Arial" w:hAnsi="Arial" w:cs="Arial"/>
        </w:rPr>
      </w:pPr>
    </w:p>
    <w:p w:rsidR="003F3948" w:rsidRDefault="003F3948" w:rsidP="0039720E">
      <w:pPr>
        <w:pStyle w:val="ListParagraph"/>
        <w:ind w:left="0"/>
        <w:rPr>
          <w:rFonts w:ascii="Arial" w:hAnsi="Arial" w:cs="Arial"/>
        </w:rPr>
      </w:pPr>
      <w:r>
        <w:rPr>
          <w:rFonts w:ascii="Arial" w:hAnsi="Arial" w:cs="Arial"/>
        </w:rPr>
        <w:t xml:space="preserve">To ensure that the work is informed by all stakeholders in higher education, advisory partners will be asked to review the work and to provide input at various points in the development of the Commission’s recommendations.  These Advisory Partners include: </w:t>
      </w:r>
    </w:p>
    <w:p w:rsidR="003F3948" w:rsidRPr="003F3948" w:rsidRDefault="003F3948" w:rsidP="0039720E">
      <w:pPr>
        <w:pStyle w:val="ListParagraph"/>
        <w:ind w:left="0"/>
        <w:rPr>
          <w:rFonts w:ascii="Arial" w:hAnsi="Arial" w:cs="Arial"/>
        </w:rPr>
      </w:pPr>
    </w:p>
    <w:p w:rsidR="0039720E" w:rsidRDefault="003F3948" w:rsidP="00405165">
      <w:pPr>
        <w:pStyle w:val="ListParagraph"/>
        <w:numPr>
          <w:ilvl w:val="0"/>
          <w:numId w:val="5"/>
        </w:numPr>
        <w:rPr>
          <w:rFonts w:ascii="Arial" w:hAnsi="Arial" w:cs="Arial"/>
        </w:rPr>
      </w:pPr>
      <w:r>
        <w:rPr>
          <w:rFonts w:ascii="Arial" w:hAnsi="Arial" w:cs="Arial"/>
        </w:rPr>
        <w:t xml:space="preserve">The State University System </w:t>
      </w:r>
      <w:r w:rsidR="0039720E">
        <w:rPr>
          <w:rFonts w:ascii="Arial" w:hAnsi="Arial" w:cs="Arial"/>
        </w:rPr>
        <w:t xml:space="preserve">Public University Chief Academic </w:t>
      </w:r>
      <w:r>
        <w:rPr>
          <w:rFonts w:ascii="Arial" w:hAnsi="Arial" w:cs="Arial"/>
        </w:rPr>
        <w:t>and Vice Presidents group</w:t>
      </w:r>
    </w:p>
    <w:p w:rsidR="0039720E" w:rsidRDefault="003F3948" w:rsidP="00405165">
      <w:pPr>
        <w:pStyle w:val="ListParagraph"/>
        <w:numPr>
          <w:ilvl w:val="0"/>
          <w:numId w:val="5"/>
        </w:numPr>
        <w:rPr>
          <w:rFonts w:ascii="Arial" w:hAnsi="Arial" w:cs="Arial"/>
        </w:rPr>
      </w:pPr>
      <w:r>
        <w:rPr>
          <w:rFonts w:ascii="Arial" w:hAnsi="Arial" w:cs="Arial"/>
        </w:rPr>
        <w:t xml:space="preserve">The State University System </w:t>
      </w:r>
      <w:r w:rsidR="0039720E">
        <w:rPr>
          <w:rFonts w:ascii="Arial" w:hAnsi="Arial" w:cs="Arial"/>
        </w:rPr>
        <w:t xml:space="preserve">Council of Student Affairs </w:t>
      </w:r>
    </w:p>
    <w:p w:rsidR="0039720E" w:rsidRDefault="0039720E" w:rsidP="00405165">
      <w:pPr>
        <w:pStyle w:val="ListParagraph"/>
        <w:numPr>
          <w:ilvl w:val="0"/>
          <w:numId w:val="5"/>
        </w:numPr>
        <w:rPr>
          <w:rFonts w:ascii="Arial" w:hAnsi="Arial" w:cs="Arial"/>
        </w:rPr>
      </w:pPr>
      <w:r>
        <w:rPr>
          <w:rFonts w:ascii="Arial" w:hAnsi="Arial" w:cs="Arial"/>
        </w:rPr>
        <w:t>House and Senate higher education policy representatives</w:t>
      </w:r>
    </w:p>
    <w:p w:rsidR="0039720E" w:rsidRDefault="003F3948" w:rsidP="00405165">
      <w:pPr>
        <w:pStyle w:val="ListParagraph"/>
        <w:numPr>
          <w:ilvl w:val="0"/>
          <w:numId w:val="5"/>
        </w:numPr>
        <w:rPr>
          <w:rFonts w:ascii="Arial" w:hAnsi="Arial" w:cs="Arial"/>
        </w:rPr>
      </w:pPr>
      <w:r>
        <w:rPr>
          <w:rFonts w:ascii="Arial" w:hAnsi="Arial" w:cs="Arial"/>
        </w:rPr>
        <w:t xml:space="preserve">The </w:t>
      </w:r>
      <w:r w:rsidR="0039720E">
        <w:rPr>
          <w:rFonts w:ascii="Arial" w:hAnsi="Arial" w:cs="Arial"/>
        </w:rPr>
        <w:t xml:space="preserve">Governor’s education policy staff </w:t>
      </w:r>
      <w:r w:rsidR="00DA0B84">
        <w:rPr>
          <w:rFonts w:ascii="Arial" w:hAnsi="Arial" w:cs="Arial"/>
        </w:rPr>
        <w:t>member</w:t>
      </w:r>
    </w:p>
    <w:p w:rsidR="00405165" w:rsidRDefault="003F3948" w:rsidP="00925D3E">
      <w:pPr>
        <w:spacing w:after="0"/>
        <w:rPr>
          <w:rFonts w:ascii="Arial" w:hAnsi="Arial" w:cs="Arial"/>
          <w:u w:val="single"/>
        </w:rPr>
      </w:pPr>
      <w:r>
        <w:rPr>
          <w:rFonts w:ascii="Arial" w:hAnsi="Arial" w:cs="Arial"/>
          <w:u w:val="single"/>
        </w:rPr>
        <w:t xml:space="preserve">Suggested </w:t>
      </w:r>
      <w:r w:rsidR="00405165">
        <w:rPr>
          <w:rFonts w:ascii="Arial" w:hAnsi="Arial" w:cs="Arial"/>
          <w:u w:val="single"/>
        </w:rPr>
        <w:t>Timeline</w:t>
      </w:r>
    </w:p>
    <w:p w:rsidR="003F3948" w:rsidRDefault="003F3948" w:rsidP="00925D3E">
      <w:pPr>
        <w:spacing w:after="0"/>
        <w:rPr>
          <w:rFonts w:ascii="Arial" w:hAnsi="Arial" w:cs="Arial"/>
        </w:rPr>
      </w:pPr>
      <w:r>
        <w:rPr>
          <w:rFonts w:ascii="Arial" w:hAnsi="Arial" w:cs="Arial"/>
        </w:rPr>
        <w:t>The following timeline is proposed as a realistic timeframe within which to gather and analyze the data necessary to inform the Commission’s final recommendations:</w:t>
      </w:r>
    </w:p>
    <w:p w:rsidR="003F3948" w:rsidRPr="003F3948" w:rsidRDefault="003F3948" w:rsidP="00925D3E">
      <w:pPr>
        <w:spacing w:after="0"/>
        <w:rPr>
          <w:rFonts w:ascii="Arial" w:hAnsi="Arial" w:cs="Arial"/>
        </w:rPr>
      </w:pPr>
    </w:p>
    <w:p w:rsidR="00405165" w:rsidRDefault="00405165" w:rsidP="00925D3E">
      <w:pPr>
        <w:pStyle w:val="ListParagraph"/>
        <w:numPr>
          <w:ilvl w:val="0"/>
          <w:numId w:val="9"/>
        </w:numPr>
        <w:spacing w:after="0"/>
        <w:rPr>
          <w:rFonts w:ascii="Arial" w:hAnsi="Arial" w:cs="Arial"/>
        </w:rPr>
      </w:pPr>
      <w:r w:rsidRPr="00925D3E">
        <w:rPr>
          <w:rFonts w:ascii="Arial" w:hAnsi="Arial" w:cs="Arial"/>
        </w:rPr>
        <w:t>June 15:  First organizational meeting</w:t>
      </w:r>
    </w:p>
    <w:p w:rsidR="00925D3E" w:rsidRPr="00925D3E" w:rsidRDefault="00925D3E" w:rsidP="00925D3E">
      <w:pPr>
        <w:pStyle w:val="ListParagraph"/>
        <w:spacing w:after="0"/>
        <w:rPr>
          <w:rFonts w:ascii="Arial" w:hAnsi="Arial" w:cs="Arial"/>
        </w:rPr>
      </w:pPr>
    </w:p>
    <w:p w:rsidR="00925D3E" w:rsidRDefault="00405165" w:rsidP="00925D3E">
      <w:pPr>
        <w:pStyle w:val="ListParagraph"/>
        <w:numPr>
          <w:ilvl w:val="0"/>
          <w:numId w:val="9"/>
        </w:numPr>
        <w:rPr>
          <w:rFonts w:ascii="Arial" w:hAnsi="Arial" w:cs="Arial"/>
        </w:rPr>
      </w:pPr>
      <w:r w:rsidRPr="00925D3E">
        <w:rPr>
          <w:rFonts w:ascii="Arial" w:hAnsi="Arial" w:cs="Arial"/>
        </w:rPr>
        <w:t>By Ju</w:t>
      </w:r>
      <w:r w:rsidR="003F3948">
        <w:rPr>
          <w:rFonts w:ascii="Arial" w:hAnsi="Arial" w:cs="Arial"/>
        </w:rPr>
        <w:t>ne 30</w:t>
      </w:r>
      <w:r w:rsidRPr="00925D3E">
        <w:rPr>
          <w:rFonts w:ascii="Arial" w:hAnsi="Arial" w:cs="Arial"/>
        </w:rPr>
        <w:t xml:space="preserve">:  Commitment </w:t>
      </w:r>
      <w:r w:rsidR="00925D3E" w:rsidRPr="00925D3E">
        <w:rPr>
          <w:rFonts w:ascii="Arial" w:hAnsi="Arial" w:cs="Arial"/>
        </w:rPr>
        <w:t xml:space="preserve">to participate </w:t>
      </w:r>
      <w:r w:rsidRPr="00925D3E">
        <w:rPr>
          <w:rFonts w:ascii="Arial" w:hAnsi="Arial" w:cs="Arial"/>
        </w:rPr>
        <w:t xml:space="preserve">from “kitchen cabinet” and </w:t>
      </w:r>
      <w:r w:rsidR="00DA0B84" w:rsidRPr="00925D3E">
        <w:rPr>
          <w:rFonts w:ascii="Arial" w:hAnsi="Arial" w:cs="Arial"/>
        </w:rPr>
        <w:t>researchers</w:t>
      </w:r>
      <w:r w:rsidRPr="00925D3E">
        <w:rPr>
          <w:rFonts w:ascii="Arial" w:hAnsi="Arial" w:cs="Arial"/>
        </w:rPr>
        <w:t xml:space="preserve"> </w:t>
      </w:r>
    </w:p>
    <w:p w:rsidR="00925D3E" w:rsidRPr="00925D3E" w:rsidRDefault="00925D3E" w:rsidP="00925D3E">
      <w:pPr>
        <w:pStyle w:val="ListParagraph"/>
        <w:rPr>
          <w:rFonts w:ascii="Arial" w:hAnsi="Arial" w:cs="Arial"/>
        </w:rPr>
      </w:pPr>
    </w:p>
    <w:p w:rsidR="00405165" w:rsidRDefault="003F3948" w:rsidP="00925D3E">
      <w:pPr>
        <w:pStyle w:val="ListParagraph"/>
        <w:numPr>
          <w:ilvl w:val="0"/>
          <w:numId w:val="9"/>
        </w:numPr>
        <w:rPr>
          <w:rFonts w:ascii="Arial" w:hAnsi="Arial" w:cs="Arial"/>
        </w:rPr>
      </w:pPr>
      <w:r>
        <w:rPr>
          <w:rFonts w:ascii="Arial" w:hAnsi="Arial" w:cs="Arial"/>
        </w:rPr>
        <w:t>July – September</w:t>
      </w:r>
      <w:r w:rsidR="0039720E" w:rsidRPr="00925D3E">
        <w:rPr>
          <w:rFonts w:ascii="Arial" w:hAnsi="Arial" w:cs="Arial"/>
        </w:rPr>
        <w:t xml:space="preserve">:  First </w:t>
      </w:r>
      <w:r w:rsidR="00405165" w:rsidRPr="00925D3E">
        <w:rPr>
          <w:rFonts w:ascii="Arial" w:hAnsi="Arial" w:cs="Arial"/>
        </w:rPr>
        <w:t>meeting</w:t>
      </w:r>
      <w:r w:rsidR="0039720E" w:rsidRPr="00925D3E">
        <w:rPr>
          <w:rFonts w:ascii="Arial" w:hAnsi="Arial" w:cs="Arial"/>
        </w:rPr>
        <w:t xml:space="preserve"> of researcher group, to continue every</w:t>
      </w:r>
      <w:r>
        <w:rPr>
          <w:rFonts w:ascii="Arial" w:hAnsi="Arial" w:cs="Arial"/>
        </w:rPr>
        <w:t xml:space="preserve"> other</w:t>
      </w:r>
      <w:r w:rsidR="0039720E" w:rsidRPr="00925D3E">
        <w:rPr>
          <w:rFonts w:ascii="Arial" w:hAnsi="Arial" w:cs="Arial"/>
        </w:rPr>
        <w:t xml:space="preserve"> week </w:t>
      </w:r>
      <w:r w:rsidR="005817CA" w:rsidRPr="00925D3E">
        <w:rPr>
          <w:rFonts w:ascii="Arial" w:hAnsi="Arial" w:cs="Arial"/>
        </w:rPr>
        <w:t xml:space="preserve">through </w:t>
      </w:r>
      <w:r w:rsidR="005817CA">
        <w:rPr>
          <w:rFonts w:ascii="Arial" w:hAnsi="Arial" w:cs="Arial"/>
        </w:rPr>
        <w:t>September</w:t>
      </w:r>
      <w:r w:rsidR="0039720E" w:rsidRPr="00925D3E">
        <w:rPr>
          <w:rFonts w:ascii="Arial" w:hAnsi="Arial" w:cs="Arial"/>
        </w:rPr>
        <w:t xml:space="preserve">.  After </w:t>
      </w:r>
      <w:r>
        <w:rPr>
          <w:rFonts w:ascii="Arial" w:hAnsi="Arial" w:cs="Arial"/>
        </w:rPr>
        <w:t>September</w:t>
      </w:r>
      <w:r w:rsidR="0039720E" w:rsidRPr="00925D3E">
        <w:rPr>
          <w:rFonts w:ascii="Arial" w:hAnsi="Arial" w:cs="Arial"/>
        </w:rPr>
        <w:t>, on an “as needed” basis only.</w:t>
      </w:r>
    </w:p>
    <w:p w:rsidR="00925D3E" w:rsidRPr="00925D3E" w:rsidRDefault="00925D3E" w:rsidP="00925D3E">
      <w:pPr>
        <w:pStyle w:val="ListParagraph"/>
        <w:rPr>
          <w:rFonts w:ascii="Arial" w:hAnsi="Arial" w:cs="Arial"/>
        </w:rPr>
      </w:pPr>
    </w:p>
    <w:p w:rsidR="0039720E" w:rsidRDefault="003F3948" w:rsidP="00925D3E">
      <w:pPr>
        <w:pStyle w:val="ListParagraph"/>
        <w:numPr>
          <w:ilvl w:val="0"/>
          <w:numId w:val="9"/>
        </w:numPr>
        <w:rPr>
          <w:rFonts w:ascii="Arial" w:hAnsi="Arial" w:cs="Arial"/>
        </w:rPr>
      </w:pPr>
      <w:r>
        <w:rPr>
          <w:rFonts w:ascii="Arial" w:hAnsi="Arial" w:cs="Arial"/>
        </w:rPr>
        <w:t>Mid-September</w:t>
      </w:r>
      <w:r w:rsidR="0039720E" w:rsidRPr="00925D3E">
        <w:rPr>
          <w:rFonts w:ascii="Arial" w:hAnsi="Arial" w:cs="Arial"/>
        </w:rPr>
        <w:t xml:space="preserve">: </w:t>
      </w:r>
      <w:r>
        <w:rPr>
          <w:rFonts w:ascii="Arial" w:hAnsi="Arial" w:cs="Arial"/>
        </w:rPr>
        <w:t>1st</w:t>
      </w:r>
      <w:r w:rsidR="0039720E" w:rsidRPr="00925D3E">
        <w:rPr>
          <w:rFonts w:ascii="Arial" w:hAnsi="Arial" w:cs="Arial"/>
        </w:rPr>
        <w:t xml:space="preserve"> meeting of </w:t>
      </w:r>
      <w:r w:rsidR="00925D3E">
        <w:rPr>
          <w:rFonts w:ascii="Arial" w:hAnsi="Arial" w:cs="Arial"/>
        </w:rPr>
        <w:t>Commission (</w:t>
      </w:r>
      <w:r w:rsidR="0039720E" w:rsidRPr="00925D3E">
        <w:rPr>
          <w:rFonts w:ascii="Arial" w:hAnsi="Arial" w:cs="Arial"/>
        </w:rPr>
        <w:t xml:space="preserve">data presented on </w:t>
      </w:r>
      <w:r>
        <w:rPr>
          <w:rFonts w:ascii="Arial" w:hAnsi="Arial" w:cs="Arial"/>
        </w:rPr>
        <w:t xml:space="preserve">demographics, current and projected student participation and degree production, </w:t>
      </w:r>
      <w:r w:rsidR="0039720E" w:rsidRPr="00925D3E">
        <w:rPr>
          <w:rFonts w:ascii="Arial" w:hAnsi="Arial" w:cs="Arial"/>
        </w:rPr>
        <w:t xml:space="preserve">and </w:t>
      </w:r>
      <w:r>
        <w:rPr>
          <w:rFonts w:ascii="Arial" w:hAnsi="Arial" w:cs="Arial"/>
        </w:rPr>
        <w:t>program array</w:t>
      </w:r>
      <w:r w:rsidR="00925D3E">
        <w:rPr>
          <w:rFonts w:ascii="Arial" w:hAnsi="Arial" w:cs="Arial"/>
        </w:rPr>
        <w:t>)</w:t>
      </w:r>
    </w:p>
    <w:p w:rsidR="00925D3E" w:rsidRPr="00925D3E" w:rsidRDefault="00925D3E" w:rsidP="00925D3E">
      <w:pPr>
        <w:pStyle w:val="ListParagraph"/>
        <w:rPr>
          <w:rFonts w:ascii="Arial" w:hAnsi="Arial" w:cs="Arial"/>
        </w:rPr>
      </w:pPr>
    </w:p>
    <w:p w:rsidR="0039720E" w:rsidRDefault="003F3948" w:rsidP="00925D3E">
      <w:pPr>
        <w:pStyle w:val="ListParagraph"/>
        <w:numPr>
          <w:ilvl w:val="0"/>
          <w:numId w:val="9"/>
        </w:numPr>
        <w:rPr>
          <w:rFonts w:ascii="Arial" w:hAnsi="Arial" w:cs="Arial"/>
        </w:rPr>
      </w:pPr>
      <w:r>
        <w:rPr>
          <w:rFonts w:ascii="Arial" w:hAnsi="Arial" w:cs="Arial"/>
        </w:rPr>
        <w:t>November:  2nd</w:t>
      </w:r>
      <w:r w:rsidR="00925D3E">
        <w:rPr>
          <w:rFonts w:ascii="Arial" w:hAnsi="Arial" w:cs="Arial"/>
        </w:rPr>
        <w:t xml:space="preserve"> meeting of Commission (</w:t>
      </w:r>
      <w:r w:rsidR="0039720E" w:rsidRPr="00925D3E">
        <w:rPr>
          <w:rFonts w:ascii="Arial" w:hAnsi="Arial" w:cs="Arial"/>
        </w:rPr>
        <w:t xml:space="preserve">data presented on </w:t>
      </w:r>
      <w:r>
        <w:rPr>
          <w:rFonts w:ascii="Arial" w:hAnsi="Arial" w:cs="Arial"/>
        </w:rPr>
        <w:t>institutions and capacity and workforce demand</w:t>
      </w:r>
      <w:r w:rsidR="00925D3E">
        <w:rPr>
          <w:rFonts w:ascii="Arial" w:hAnsi="Arial" w:cs="Arial"/>
        </w:rPr>
        <w:t>)</w:t>
      </w:r>
    </w:p>
    <w:p w:rsidR="00925D3E" w:rsidRPr="00925D3E" w:rsidRDefault="00925D3E" w:rsidP="00925D3E">
      <w:pPr>
        <w:pStyle w:val="ListParagraph"/>
        <w:rPr>
          <w:rFonts w:ascii="Arial" w:hAnsi="Arial" w:cs="Arial"/>
        </w:rPr>
      </w:pPr>
    </w:p>
    <w:p w:rsidR="0039720E" w:rsidRDefault="003F3948" w:rsidP="00925D3E">
      <w:pPr>
        <w:pStyle w:val="ListParagraph"/>
        <w:numPr>
          <w:ilvl w:val="0"/>
          <w:numId w:val="9"/>
        </w:numPr>
        <w:rPr>
          <w:rFonts w:ascii="Arial" w:hAnsi="Arial" w:cs="Arial"/>
        </w:rPr>
      </w:pPr>
      <w:r>
        <w:rPr>
          <w:rFonts w:ascii="Arial" w:hAnsi="Arial" w:cs="Arial"/>
        </w:rPr>
        <w:t>March:  3rd</w:t>
      </w:r>
      <w:r w:rsidR="00925D3E">
        <w:rPr>
          <w:rFonts w:ascii="Arial" w:hAnsi="Arial" w:cs="Arial"/>
        </w:rPr>
        <w:t xml:space="preserve"> meeting of Commission (</w:t>
      </w:r>
      <w:r>
        <w:rPr>
          <w:rFonts w:ascii="Arial" w:hAnsi="Arial" w:cs="Arial"/>
        </w:rPr>
        <w:t>data presented identifying opportunities for growth and optimization; beginning development of recommendations</w:t>
      </w:r>
      <w:r w:rsidR="00925D3E">
        <w:rPr>
          <w:rFonts w:ascii="Arial" w:hAnsi="Arial" w:cs="Arial"/>
        </w:rPr>
        <w:t>)</w:t>
      </w:r>
    </w:p>
    <w:p w:rsidR="00925D3E" w:rsidRPr="00925D3E" w:rsidRDefault="00925D3E" w:rsidP="00925D3E">
      <w:pPr>
        <w:pStyle w:val="ListParagraph"/>
        <w:rPr>
          <w:rFonts w:ascii="Arial" w:hAnsi="Arial" w:cs="Arial"/>
        </w:rPr>
      </w:pPr>
    </w:p>
    <w:p w:rsidR="00925D3E" w:rsidRDefault="003F3948" w:rsidP="00925D3E">
      <w:pPr>
        <w:pStyle w:val="ListParagraph"/>
        <w:numPr>
          <w:ilvl w:val="0"/>
          <w:numId w:val="9"/>
        </w:numPr>
        <w:spacing w:after="0" w:line="240" w:lineRule="auto"/>
        <w:rPr>
          <w:rFonts w:ascii="Arial" w:hAnsi="Arial" w:cs="Arial"/>
        </w:rPr>
      </w:pPr>
      <w:r>
        <w:rPr>
          <w:rFonts w:ascii="Arial" w:hAnsi="Arial" w:cs="Arial"/>
        </w:rPr>
        <w:t>May:  4</w:t>
      </w:r>
      <w:r w:rsidR="00925D3E">
        <w:rPr>
          <w:rFonts w:ascii="Arial" w:hAnsi="Arial" w:cs="Arial"/>
        </w:rPr>
        <w:t xml:space="preserve">th meeting of Commission </w:t>
      </w:r>
    </w:p>
    <w:p w:rsidR="00925D3E" w:rsidRDefault="0039720E" w:rsidP="008749D0">
      <w:pPr>
        <w:pStyle w:val="ListParagraph"/>
        <w:numPr>
          <w:ilvl w:val="0"/>
          <w:numId w:val="10"/>
        </w:numPr>
        <w:spacing w:after="0" w:line="240" w:lineRule="auto"/>
        <w:rPr>
          <w:rFonts w:ascii="Arial" w:hAnsi="Arial" w:cs="Arial"/>
        </w:rPr>
      </w:pPr>
      <w:r w:rsidRPr="00925D3E">
        <w:rPr>
          <w:rFonts w:ascii="Arial" w:hAnsi="Arial" w:cs="Arial"/>
        </w:rPr>
        <w:t>Draft recommendations to address statewide and reg</w:t>
      </w:r>
      <w:r w:rsidR="008749D0">
        <w:rPr>
          <w:rFonts w:ascii="Arial" w:hAnsi="Arial" w:cs="Arial"/>
        </w:rPr>
        <w:t>ional gaps in higher education</w:t>
      </w:r>
    </w:p>
    <w:p w:rsidR="0039720E" w:rsidRDefault="00925D3E" w:rsidP="008749D0">
      <w:pPr>
        <w:pStyle w:val="ListParagraph"/>
        <w:numPr>
          <w:ilvl w:val="0"/>
          <w:numId w:val="10"/>
        </w:numPr>
        <w:spacing w:after="0" w:line="240" w:lineRule="auto"/>
        <w:rPr>
          <w:rFonts w:ascii="Arial" w:hAnsi="Arial" w:cs="Arial"/>
        </w:rPr>
      </w:pPr>
      <w:r>
        <w:rPr>
          <w:rFonts w:ascii="Arial" w:hAnsi="Arial" w:cs="Arial"/>
        </w:rPr>
        <w:t>V</w:t>
      </w:r>
      <w:r w:rsidR="0039720E" w:rsidRPr="00925D3E">
        <w:rPr>
          <w:rFonts w:ascii="Arial" w:hAnsi="Arial" w:cs="Arial"/>
        </w:rPr>
        <w:t>etting of draft recommendations with CAVP, CSA and other constituent groups</w:t>
      </w:r>
    </w:p>
    <w:p w:rsidR="00925D3E" w:rsidRPr="00925D3E" w:rsidRDefault="00925D3E" w:rsidP="00925D3E">
      <w:pPr>
        <w:pStyle w:val="ListParagraph"/>
        <w:spacing w:after="0"/>
        <w:rPr>
          <w:rFonts w:ascii="Arial" w:hAnsi="Arial" w:cs="Arial"/>
        </w:rPr>
      </w:pPr>
    </w:p>
    <w:p w:rsidR="00BD6A67" w:rsidRPr="00925D3E" w:rsidRDefault="003F3948" w:rsidP="00925D3E">
      <w:pPr>
        <w:pStyle w:val="ListParagraph"/>
        <w:numPr>
          <w:ilvl w:val="0"/>
          <w:numId w:val="9"/>
        </w:numPr>
        <w:rPr>
          <w:rFonts w:ascii="Arial" w:hAnsi="Arial" w:cs="Arial"/>
        </w:rPr>
      </w:pPr>
      <w:r>
        <w:rPr>
          <w:rFonts w:ascii="Arial" w:hAnsi="Arial" w:cs="Arial"/>
        </w:rPr>
        <w:t>June-July</w:t>
      </w:r>
      <w:r w:rsidR="0039720E" w:rsidRPr="00925D3E">
        <w:rPr>
          <w:rFonts w:ascii="Arial" w:hAnsi="Arial" w:cs="Arial"/>
        </w:rPr>
        <w:t>:  Final adoption of recommendations.</w:t>
      </w:r>
    </w:p>
    <w:sectPr w:rsidR="00BD6A67" w:rsidRPr="00925D3E" w:rsidSect="00924BE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1DB" w:rsidRDefault="00D971DB" w:rsidP="004F6790">
      <w:pPr>
        <w:spacing w:after="0" w:line="240" w:lineRule="auto"/>
      </w:pPr>
      <w:r>
        <w:separator/>
      </w:r>
    </w:p>
  </w:endnote>
  <w:endnote w:type="continuationSeparator" w:id="0">
    <w:p w:rsidR="00D971DB" w:rsidRDefault="00D971DB" w:rsidP="004F6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28294"/>
      <w:docPartObj>
        <w:docPartGallery w:val="Page Numbers (Bottom of Page)"/>
        <w:docPartUnique/>
      </w:docPartObj>
    </w:sdtPr>
    <w:sdtContent>
      <w:p w:rsidR="00D971DB" w:rsidRDefault="002A31E2">
        <w:pPr>
          <w:pStyle w:val="Footer"/>
          <w:jc w:val="right"/>
        </w:pPr>
        <w:fldSimple w:instr=" PAGE   \* MERGEFORMAT ">
          <w:r w:rsidR="002D5B0B">
            <w:rPr>
              <w:noProof/>
            </w:rPr>
            <w:t>4</w:t>
          </w:r>
        </w:fldSimple>
      </w:p>
    </w:sdtContent>
  </w:sdt>
  <w:p w:rsidR="00D971DB" w:rsidRDefault="00D97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1DB" w:rsidRDefault="00D971DB" w:rsidP="004F6790">
      <w:pPr>
        <w:spacing w:after="0" w:line="240" w:lineRule="auto"/>
      </w:pPr>
      <w:r>
        <w:separator/>
      </w:r>
    </w:p>
  </w:footnote>
  <w:footnote w:type="continuationSeparator" w:id="0">
    <w:p w:rsidR="00D971DB" w:rsidRDefault="00D971DB" w:rsidP="004F6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B6D45"/>
    <w:multiLevelType w:val="hybridMultilevel"/>
    <w:tmpl w:val="8FEC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B2D16"/>
    <w:multiLevelType w:val="hybridMultilevel"/>
    <w:tmpl w:val="E258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A2654"/>
    <w:multiLevelType w:val="hybridMultilevel"/>
    <w:tmpl w:val="506475A8"/>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8B0E3D"/>
    <w:multiLevelType w:val="hybridMultilevel"/>
    <w:tmpl w:val="C432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41069"/>
    <w:multiLevelType w:val="hybridMultilevel"/>
    <w:tmpl w:val="83386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307229"/>
    <w:multiLevelType w:val="hybridMultilevel"/>
    <w:tmpl w:val="AC722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A703EE"/>
    <w:multiLevelType w:val="hybridMultilevel"/>
    <w:tmpl w:val="9AD670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F6E73"/>
    <w:multiLevelType w:val="hybridMultilevel"/>
    <w:tmpl w:val="172E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64717"/>
    <w:multiLevelType w:val="hybridMultilevel"/>
    <w:tmpl w:val="FD30E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E566B7"/>
    <w:multiLevelType w:val="hybridMultilevel"/>
    <w:tmpl w:val="97BC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6713C"/>
    <w:multiLevelType w:val="hybridMultilevel"/>
    <w:tmpl w:val="B7EA1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715742"/>
    <w:multiLevelType w:val="hybridMultilevel"/>
    <w:tmpl w:val="9664F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ED45D1"/>
    <w:multiLevelType w:val="hybridMultilevel"/>
    <w:tmpl w:val="671E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0F3F56"/>
    <w:multiLevelType w:val="hybridMultilevel"/>
    <w:tmpl w:val="0A2C7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B04188"/>
    <w:multiLevelType w:val="hybridMultilevel"/>
    <w:tmpl w:val="5EBA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FE3350"/>
    <w:multiLevelType w:val="hybridMultilevel"/>
    <w:tmpl w:val="871CE4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1B4C7D"/>
    <w:multiLevelType w:val="hybridMultilevel"/>
    <w:tmpl w:val="2E2826D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8191986"/>
    <w:multiLevelType w:val="hybridMultilevel"/>
    <w:tmpl w:val="C3DC47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263966"/>
    <w:multiLevelType w:val="hybridMultilevel"/>
    <w:tmpl w:val="FB3261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8"/>
  </w:num>
  <w:num w:numId="4">
    <w:abstractNumId w:val="6"/>
  </w:num>
  <w:num w:numId="5">
    <w:abstractNumId w:val="8"/>
  </w:num>
  <w:num w:numId="6">
    <w:abstractNumId w:val="1"/>
  </w:num>
  <w:num w:numId="7">
    <w:abstractNumId w:val="13"/>
  </w:num>
  <w:num w:numId="8">
    <w:abstractNumId w:val="2"/>
  </w:num>
  <w:num w:numId="9">
    <w:abstractNumId w:val="12"/>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14"/>
  </w:num>
  <w:num w:numId="15">
    <w:abstractNumId w:val="3"/>
  </w:num>
  <w:num w:numId="16">
    <w:abstractNumId w:val="10"/>
  </w:num>
  <w:num w:numId="17">
    <w:abstractNumId w:val="4"/>
  </w:num>
  <w:num w:numId="18">
    <w:abstractNumId w:val="17"/>
  </w:num>
  <w:num w:numId="19">
    <w:abstractNumId w:val="0"/>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1"/>
    <w:footnote w:id="0"/>
  </w:footnotePr>
  <w:endnotePr>
    <w:endnote w:id="-1"/>
    <w:endnote w:id="0"/>
  </w:endnotePr>
  <w:compat/>
  <w:rsids>
    <w:rsidRoot w:val="001A4B4E"/>
    <w:rsid w:val="000F76F0"/>
    <w:rsid w:val="00104B22"/>
    <w:rsid w:val="00132BF1"/>
    <w:rsid w:val="001A4B4E"/>
    <w:rsid w:val="001F4B34"/>
    <w:rsid w:val="00221475"/>
    <w:rsid w:val="002A31E2"/>
    <w:rsid w:val="002A6220"/>
    <w:rsid w:val="002D5B0B"/>
    <w:rsid w:val="002F2486"/>
    <w:rsid w:val="002F2884"/>
    <w:rsid w:val="0039720E"/>
    <w:rsid w:val="003B78A4"/>
    <w:rsid w:val="003C34CA"/>
    <w:rsid w:val="003F3948"/>
    <w:rsid w:val="00405165"/>
    <w:rsid w:val="0043770E"/>
    <w:rsid w:val="004F6790"/>
    <w:rsid w:val="005817CA"/>
    <w:rsid w:val="005F03BC"/>
    <w:rsid w:val="006F202E"/>
    <w:rsid w:val="00754A76"/>
    <w:rsid w:val="00874036"/>
    <w:rsid w:val="008749D0"/>
    <w:rsid w:val="00922194"/>
    <w:rsid w:val="00924BE3"/>
    <w:rsid w:val="00925D3E"/>
    <w:rsid w:val="009325AC"/>
    <w:rsid w:val="00A24219"/>
    <w:rsid w:val="00A739FD"/>
    <w:rsid w:val="00A85EF5"/>
    <w:rsid w:val="00AE6CD5"/>
    <w:rsid w:val="00B400E3"/>
    <w:rsid w:val="00B95353"/>
    <w:rsid w:val="00BB371F"/>
    <w:rsid w:val="00BC5784"/>
    <w:rsid w:val="00BD6A67"/>
    <w:rsid w:val="00BF4131"/>
    <w:rsid w:val="00C40151"/>
    <w:rsid w:val="00C57BC6"/>
    <w:rsid w:val="00CC24E0"/>
    <w:rsid w:val="00CC4879"/>
    <w:rsid w:val="00D02C17"/>
    <w:rsid w:val="00D971DB"/>
    <w:rsid w:val="00D979AE"/>
    <w:rsid w:val="00DA0B84"/>
    <w:rsid w:val="00E21030"/>
    <w:rsid w:val="00EB3432"/>
    <w:rsid w:val="00ED04A8"/>
    <w:rsid w:val="00FB6513"/>
    <w:rsid w:val="00FC44A7"/>
    <w:rsid w:val="00FD4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B4E"/>
    <w:pPr>
      <w:ind w:left="720"/>
      <w:contextualSpacing/>
    </w:pPr>
  </w:style>
  <w:style w:type="paragraph" w:styleId="Header">
    <w:name w:val="header"/>
    <w:basedOn w:val="Normal"/>
    <w:link w:val="HeaderChar"/>
    <w:uiPriority w:val="99"/>
    <w:semiHidden/>
    <w:unhideWhenUsed/>
    <w:rsid w:val="004F67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6790"/>
  </w:style>
  <w:style w:type="paragraph" w:styleId="Footer">
    <w:name w:val="footer"/>
    <w:basedOn w:val="Normal"/>
    <w:link w:val="FooterChar"/>
    <w:uiPriority w:val="99"/>
    <w:unhideWhenUsed/>
    <w:rsid w:val="004F6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790"/>
  </w:style>
  <w:style w:type="paragraph" w:customStyle="1" w:styleId="Default">
    <w:name w:val="Default"/>
    <w:basedOn w:val="Normal"/>
    <w:rsid w:val="00CC4879"/>
    <w:pPr>
      <w:autoSpaceDE w:val="0"/>
      <w:autoSpaceDN w:val="0"/>
      <w:spacing w:after="0" w:line="240" w:lineRule="auto"/>
    </w:pPr>
    <w:rPr>
      <w:rFonts w:ascii="Book Antiqua" w:hAnsi="Book Antiqua" w:cs="Times New Roman"/>
      <w:color w:val="000000"/>
      <w:sz w:val="24"/>
      <w:szCs w:val="24"/>
    </w:rPr>
  </w:style>
  <w:style w:type="paragraph" w:styleId="BalloonText">
    <w:name w:val="Balloon Text"/>
    <w:basedOn w:val="Normal"/>
    <w:link w:val="BalloonTextChar"/>
    <w:uiPriority w:val="99"/>
    <w:semiHidden/>
    <w:unhideWhenUsed/>
    <w:rsid w:val="00CC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doeadmin</cp:lastModifiedBy>
  <cp:revision>2</cp:revision>
  <cp:lastPrinted>2012-05-24T22:27:00Z</cp:lastPrinted>
  <dcterms:created xsi:type="dcterms:W3CDTF">2012-07-19T15:28:00Z</dcterms:created>
  <dcterms:modified xsi:type="dcterms:W3CDTF">2012-07-19T15:28:00Z</dcterms:modified>
</cp:coreProperties>
</file>